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eastAsia="仿宋_GB2312"/>
          <w:color w:val="auto"/>
          <w:sz w:val="24"/>
          <w:szCs w:val="24"/>
        </w:rPr>
      </w:pPr>
      <w:r>
        <w:rPr>
          <w:rFonts w:eastAsia="仿宋_GB2312"/>
          <w:color w:val="auto"/>
          <w:sz w:val="24"/>
          <w:szCs w:val="24"/>
        </w:rPr>
        <w:t xml:space="preserve">          </w:t>
      </w:r>
    </w:p>
    <w:p>
      <w:pPr>
        <w:ind w:firstLine="5218" w:firstLineChars="2485"/>
        <w:jc w:val="center"/>
        <w:rPr>
          <w:rFonts w:eastAsia="仿宋_GB2312"/>
          <w:color w:val="auto"/>
        </w:rPr>
      </w:pPr>
      <w:r>
        <w:rPr>
          <w:rFonts w:eastAsia="仿宋_GB2312"/>
          <w:color w:val="auto"/>
        </w:rPr>
        <w:t xml:space="preserve">      </w:t>
      </w:r>
    </w:p>
    <w:p>
      <w:pPr>
        <w:jc w:val="center"/>
        <w:rPr>
          <w:rFonts w:hint="eastAsia" w:eastAsia="仿宋_GB2312"/>
          <w:b/>
          <w:bCs/>
          <w:color w:val="auto"/>
          <w:sz w:val="52"/>
          <w:szCs w:val="52"/>
        </w:rPr>
      </w:pPr>
    </w:p>
    <w:p>
      <w:pPr>
        <w:jc w:val="center"/>
        <w:rPr>
          <w:rFonts w:hint="eastAsia" w:eastAsia="仿宋_GB2312"/>
          <w:b/>
          <w:bCs/>
          <w:color w:val="auto"/>
          <w:sz w:val="52"/>
          <w:szCs w:val="52"/>
        </w:rPr>
      </w:pPr>
    </w:p>
    <w:p>
      <w:pPr>
        <w:pStyle w:val="2"/>
        <w:rPr>
          <w:rFonts w:hint="eastAsia"/>
          <w:color w:val="auto"/>
        </w:rPr>
      </w:pPr>
    </w:p>
    <w:p>
      <w:pPr>
        <w:jc w:val="center"/>
        <w:rPr>
          <w:rFonts w:hint="eastAsia" w:eastAsia="仿宋_GB2312"/>
          <w:b/>
          <w:bCs/>
          <w:color w:val="auto"/>
          <w:sz w:val="52"/>
          <w:szCs w:val="52"/>
          <w:lang w:eastAsia="zh-CN"/>
        </w:rPr>
      </w:pPr>
      <w:r>
        <w:rPr>
          <w:rFonts w:hint="eastAsia" w:eastAsia="仿宋_GB2312"/>
          <w:b/>
          <w:bCs/>
          <w:color w:val="auto"/>
          <w:sz w:val="52"/>
          <w:szCs w:val="52"/>
          <w:lang w:eastAsia="zh-CN"/>
        </w:rPr>
        <w:drawing>
          <wp:inline distT="0" distB="0" distL="114300" distR="114300">
            <wp:extent cx="2656205" cy="2239645"/>
            <wp:effectExtent l="0" t="0" r="10795" b="8255"/>
            <wp:docPr id="1" name="图片 2"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博LOGO"/>
                    <pic:cNvPicPr>
                      <a:picLocks noChangeAspect="1"/>
                    </pic:cNvPicPr>
                  </pic:nvPicPr>
                  <pic:blipFill>
                    <a:blip r:embed="rId9"/>
                    <a:stretch>
                      <a:fillRect/>
                    </a:stretch>
                  </pic:blipFill>
                  <pic:spPr>
                    <a:xfrm>
                      <a:off x="0" y="0"/>
                      <a:ext cx="2656205" cy="2239645"/>
                    </a:xfrm>
                    <a:prstGeom prst="rect">
                      <a:avLst/>
                    </a:prstGeom>
                    <a:noFill/>
                    <a:ln>
                      <a:noFill/>
                    </a:ln>
                  </pic:spPr>
                </pic:pic>
              </a:graphicData>
            </a:graphic>
          </wp:inline>
        </w:drawing>
      </w:r>
    </w:p>
    <w:p>
      <w:pPr>
        <w:jc w:val="center"/>
        <w:rPr>
          <w:rFonts w:hint="eastAsia" w:eastAsia="仿宋_GB2312"/>
          <w:b/>
          <w:bCs/>
          <w:color w:val="auto"/>
          <w:sz w:val="52"/>
          <w:szCs w:val="52"/>
        </w:rPr>
      </w:pPr>
    </w:p>
    <w:p>
      <w:pPr>
        <w:jc w:val="center"/>
        <w:rPr>
          <w:rFonts w:eastAsia="仿宋_GB2312"/>
          <w:b/>
          <w:bCs/>
          <w:color w:val="auto"/>
          <w:sz w:val="52"/>
          <w:szCs w:val="52"/>
        </w:rPr>
      </w:pPr>
    </w:p>
    <w:p>
      <w:pPr>
        <w:jc w:val="center"/>
        <w:rPr>
          <w:rFonts w:eastAsia="仿宋_GB2312"/>
          <w:b/>
          <w:bCs/>
          <w:color w:val="auto"/>
          <w:sz w:val="52"/>
          <w:szCs w:val="52"/>
        </w:rPr>
      </w:pPr>
      <w:r>
        <w:rPr>
          <w:rFonts w:eastAsia="仿宋_GB2312"/>
          <w:b/>
          <w:bCs/>
          <w:color w:val="auto"/>
          <w:sz w:val="52"/>
          <w:szCs w:val="52"/>
        </w:rPr>
        <w:t xml:space="preserve">管 理 体 系 认 证 合 同 </w:t>
      </w:r>
    </w:p>
    <w:p>
      <w:pPr>
        <w:wordWrap w:val="0"/>
        <w:jc w:val="right"/>
        <w:rPr>
          <w:rFonts w:hint="eastAsia" w:eastAsia="仿宋_GB2312"/>
          <w:color w:val="auto"/>
          <w:sz w:val="24"/>
          <w:szCs w:val="24"/>
        </w:rPr>
      </w:pPr>
    </w:p>
    <w:p>
      <w:pPr>
        <w:jc w:val="right"/>
        <w:rPr>
          <w:rFonts w:hint="eastAsia" w:eastAsia="仿宋_GB2312"/>
          <w:color w:val="auto"/>
          <w:sz w:val="24"/>
          <w:szCs w:val="24"/>
        </w:rPr>
      </w:pPr>
    </w:p>
    <w:p>
      <w:pPr>
        <w:jc w:val="right"/>
        <w:rPr>
          <w:rFonts w:hint="eastAsia" w:eastAsia="仿宋_GB2312"/>
          <w:color w:val="auto"/>
          <w:sz w:val="24"/>
          <w:szCs w:val="24"/>
        </w:rPr>
      </w:pPr>
    </w:p>
    <w:p>
      <w:pPr>
        <w:jc w:val="right"/>
        <w:rPr>
          <w:rFonts w:hint="eastAsia" w:eastAsia="仿宋_GB2312"/>
          <w:color w:val="auto"/>
          <w:sz w:val="24"/>
          <w:szCs w:val="24"/>
        </w:rPr>
      </w:pPr>
    </w:p>
    <w:p>
      <w:pPr>
        <w:jc w:val="right"/>
        <w:rPr>
          <w:rFonts w:hint="eastAsia" w:eastAsia="仿宋_GB2312"/>
          <w:color w:val="auto"/>
          <w:sz w:val="24"/>
          <w:szCs w:val="24"/>
        </w:rPr>
      </w:pPr>
      <w:r>
        <w:rPr>
          <w:rFonts w:hint="eastAsia" w:eastAsia="仿宋_GB2312"/>
          <w:color w:val="auto"/>
          <w:sz w:val="24"/>
          <w:szCs w:val="24"/>
        </w:rPr>
        <w:t xml:space="preserve">  </w:t>
      </w:r>
    </w:p>
    <w:p>
      <w:pPr>
        <w:ind w:firstLine="803" w:firstLineChars="250"/>
        <w:rPr>
          <w:rFonts w:hint="eastAsia" w:eastAsia="仿宋_GB2312"/>
          <w:b/>
          <w:color w:val="auto"/>
          <w:sz w:val="32"/>
          <w:szCs w:val="32"/>
          <w:u w:val="single"/>
        </w:rPr>
      </w:pPr>
      <w:r>
        <w:rPr>
          <w:rFonts w:hint="eastAsia" w:eastAsia="仿宋_GB2312"/>
          <w:b/>
          <w:color w:val="auto"/>
          <w:sz w:val="32"/>
          <w:szCs w:val="32"/>
        </w:rPr>
        <w:t>委托方（甲方）：</w:t>
      </w:r>
      <w:r>
        <w:rPr>
          <w:rFonts w:hint="eastAsia" w:eastAsia="仿宋_GB2312"/>
          <w:b/>
          <w:color w:val="auto"/>
          <w:sz w:val="32"/>
          <w:szCs w:val="32"/>
          <w:u w:val="single"/>
        </w:rPr>
        <w:t xml:space="preserve">    </w:t>
      </w:r>
      <w:r>
        <w:rPr>
          <w:rFonts w:hint="eastAsia" w:eastAsia="仿宋_GB2312"/>
          <w:b/>
          <w:color w:val="auto"/>
          <w:sz w:val="32"/>
          <w:szCs w:val="32"/>
          <w:u w:val="single"/>
          <w:lang w:val="en-US" w:eastAsia="zh-CN"/>
        </w:rPr>
        <w:t xml:space="preserve">                         </w:t>
      </w:r>
      <w:r>
        <w:rPr>
          <w:rFonts w:eastAsia="仿宋_GB2312"/>
          <w:b/>
          <w:color w:val="auto"/>
          <w:sz w:val="32"/>
          <w:szCs w:val="32"/>
          <w:u w:val="single"/>
        </w:rPr>
        <w:t xml:space="preserve">    </w:t>
      </w:r>
      <w:r>
        <w:rPr>
          <w:rFonts w:hint="eastAsia" w:eastAsia="仿宋_GB2312"/>
          <w:b/>
          <w:color w:val="auto"/>
          <w:sz w:val="32"/>
          <w:szCs w:val="32"/>
          <w:u w:val="single"/>
        </w:rPr>
        <w:t xml:space="preserve"> </w:t>
      </w:r>
    </w:p>
    <w:p>
      <w:pPr>
        <w:pStyle w:val="2"/>
        <w:rPr>
          <w:rFonts w:hint="eastAsia" w:eastAsia="仿宋_GB2312"/>
          <w:b/>
          <w:color w:val="auto"/>
          <w:sz w:val="32"/>
          <w:szCs w:val="32"/>
          <w:u w:val="single"/>
        </w:rPr>
      </w:pPr>
    </w:p>
    <w:p>
      <w:pPr>
        <w:pStyle w:val="2"/>
        <w:rPr>
          <w:rFonts w:hint="eastAsia"/>
          <w:color w:val="auto"/>
        </w:rPr>
      </w:pPr>
    </w:p>
    <w:p>
      <w:pPr>
        <w:ind w:firstLine="2249" w:firstLineChars="700"/>
        <w:rPr>
          <w:rFonts w:hint="eastAsia" w:eastAsia="仿宋_GB2312"/>
          <w:b/>
          <w:color w:val="auto"/>
          <w:sz w:val="32"/>
          <w:szCs w:val="32"/>
          <w:u w:val="single"/>
        </w:rPr>
      </w:pPr>
    </w:p>
    <w:p>
      <w:pPr>
        <w:ind w:firstLine="803" w:firstLineChars="250"/>
        <w:rPr>
          <w:rFonts w:eastAsia="仿宋_GB2312"/>
          <w:color w:val="auto"/>
          <w:sz w:val="28"/>
          <w:szCs w:val="28"/>
        </w:rPr>
      </w:pPr>
      <w:r>
        <w:rPr>
          <w:rFonts w:hint="eastAsia" w:eastAsia="仿宋_GB2312"/>
          <w:b/>
          <w:color w:val="auto"/>
          <w:sz w:val="32"/>
          <w:szCs w:val="32"/>
        </w:rPr>
        <w:t>认证方（乙方）：</w:t>
      </w:r>
      <w:r>
        <w:rPr>
          <w:rFonts w:hint="eastAsia" w:eastAsia="仿宋_GB2312"/>
          <w:b/>
          <w:color w:val="auto"/>
          <w:sz w:val="30"/>
          <w:szCs w:val="30"/>
          <w:u w:val="single"/>
          <w:lang w:val="en-US" w:eastAsia="zh-CN"/>
        </w:rPr>
        <w:t>中博检验认证技术服务（江苏）</w:t>
      </w:r>
      <w:r>
        <w:rPr>
          <w:rFonts w:hint="eastAsia" w:eastAsia="仿宋_GB2312"/>
          <w:b/>
          <w:color w:val="auto"/>
          <w:sz w:val="30"/>
          <w:szCs w:val="30"/>
          <w:u w:val="single"/>
        </w:rPr>
        <w:t xml:space="preserve">有限公司 </w:t>
      </w:r>
    </w:p>
    <w:p>
      <w:pPr>
        <w:pStyle w:val="2"/>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bookmarkStart w:id="0" w:name="_GoBack"/>
      <w:bookmarkEnd w:id="0"/>
    </w:p>
    <w:p>
      <w:pPr>
        <w:pStyle w:val="2"/>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p>
    <w:p>
      <w:pPr>
        <w:pStyle w:val="2"/>
        <w:ind w:firstLine="840" w:firstLineChars="300"/>
        <w:rPr>
          <w:rFonts w:hint="eastAsia" w:eastAsia="仿宋_GB2312"/>
          <w:color w:val="auto"/>
          <w:sz w:val="24"/>
          <w:szCs w:val="24"/>
        </w:rPr>
      </w:pPr>
      <w:r>
        <w:rPr>
          <w:rFonts w:hint="eastAsia" w:eastAsia="仿宋_GB2312"/>
          <w:color w:val="auto"/>
          <w:sz w:val="28"/>
          <w:szCs w:val="28"/>
          <w:lang w:val="en-US" w:eastAsia="zh-CN"/>
        </w:rPr>
        <w:t>地址：中国-苏州市吴中区东环南路999号中博科技园A座318室</w:t>
      </w:r>
    </w:p>
    <w:p>
      <w:pPr>
        <w:rPr>
          <w:rFonts w:hint="default" w:eastAsia="仿宋_GB2312"/>
          <w:color w:val="auto"/>
          <w:sz w:val="24"/>
          <w:szCs w:val="24"/>
          <w:lang w:val="en-US" w:eastAsia="zh-CN"/>
        </w:rPr>
      </w:pPr>
      <w:r>
        <w:rPr>
          <w:rFonts w:hint="eastAsia" w:eastAsia="仿宋_GB2312"/>
          <w:color w:val="auto"/>
          <w:sz w:val="24"/>
          <w:szCs w:val="24"/>
          <w:lang w:val="en-US" w:eastAsia="zh-CN"/>
        </w:rPr>
        <w:t xml:space="preserve">       电话：0512-65019996   0512-65018166   0512-65013866</w:t>
      </w:r>
    </w:p>
    <w:p>
      <w:pPr>
        <w:rPr>
          <w:rFonts w:hint="default" w:eastAsia="仿宋_GB2312"/>
          <w:color w:val="auto"/>
          <w:sz w:val="24"/>
          <w:szCs w:val="24"/>
          <w:lang w:val="en-US" w:eastAsia="zh-CN"/>
        </w:rPr>
      </w:pPr>
      <w:r>
        <w:rPr>
          <w:rFonts w:hint="eastAsia" w:eastAsia="仿宋_GB2312"/>
          <w:color w:val="auto"/>
          <w:sz w:val="24"/>
          <w:szCs w:val="24"/>
          <w:lang w:val="en-US" w:eastAsia="zh-CN"/>
        </w:rPr>
        <w:t xml:space="preserve">       网址：</w:t>
      </w:r>
      <w:r>
        <w:rPr>
          <w:rFonts w:hint="eastAsia" w:eastAsia="仿宋_GB2312"/>
          <w:color w:val="auto"/>
          <w:sz w:val="24"/>
          <w:szCs w:val="24"/>
          <w:lang w:val="en-US" w:eastAsia="zh-CN"/>
        </w:rPr>
        <w:fldChar w:fldCharType="begin"/>
      </w:r>
      <w:r>
        <w:rPr>
          <w:rFonts w:hint="eastAsia" w:eastAsia="仿宋_GB2312"/>
          <w:color w:val="auto"/>
          <w:sz w:val="24"/>
          <w:szCs w:val="24"/>
          <w:lang w:val="en-US" w:eastAsia="zh-CN"/>
        </w:rPr>
        <w:instrText xml:space="preserve"> HYPERLINK "http://www.zbcc-cert.com" </w:instrText>
      </w:r>
      <w:r>
        <w:rPr>
          <w:rFonts w:hint="eastAsia" w:eastAsia="仿宋_GB2312"/>
          <w:color w:val="auto"/>
          <w:sz w:val="24"/>
          <w:szCs w:val="24"/>
          <w:lang w:val="en-US" w:eastAsia="zh-CN"/>
        </w:rPr>
        <w:fldChar w:fldCharType="separate"/>
      </w:r>
      <w:r>
        <w:rPr>
          <w:rStyle w:val="24"/>
          <w:rFonts w:hint="eastAsia" w:eastAsia="仿宋_GB2312"/>
          <w:color w:val="auto"/>
          <w:sz w:val="24"/>
          <w:szCs w:val="24"/>
          <w:lang w:val="en-US" w:eastAsia="zh-CN"/>
        </w:rPr>
        <w:t>http://www.zbcc-cert.com</w:t>
      </w:r>
      <w:r>
        <w:rPr>
          <w:rFonts w:hint="eastAsia" w:eastAsia="仿宋_GB2312"/>
          <w:color w:val="auto"/>
          <w:sz w:val="24"/>
          <w:szCs w:val="24"/>
          <w:lang w:val="en-US" w:eastAsia="zh-CN"/>
        </w:rPr>
        <w:fldChar w:fldCharType="end"/>
      </w:r>
      <w:r>
        <w:rPr>
          <w:rFonts w:hint="eastAsia" w:eastAsia="仿宋_GB2312"/>
          <w:color w:val="auto"/>
          <w:sz w:val="24"/>
          <w:szCs w:val="24"/>
          <w:lang w:val="en-US" w:eastAsia="zh-CN"/>
        </w:rPr>
        <w:t xml:space="preserve">    邮箱：zbcc@zbcc-cert.com</w:t>
      </w:r>
    </w:p>
    <w:p>
      <w:pPr>
        <w:rPr>
          <w:rFonts w:hint="eastAsia" w:eastAsia="仿宋_GB2312"/>
          <w:color w:val="auto"/>
          <w:sz w:val="24"/>
          <w:szCs w:val="24"/>
        </w:rPr>
      </w:pPr>
    </w:p>
    <w:p>
      <w:pPr>
        <w:shd w:val="clear" w:color="auto" w:fill="17365D"/>
        <w:spacing w:line="400" w:lineRule="exact"/>
        <w:jc w:val="center"/>
        <w:rPr>
          <w:rFonts w:hint="default" w:eastAsia="宋体"/>
          <w:color w:val="auto"/>
          <w:sz w:val="24"/>
          <w:lang w:val="en-US" w:eastAsia="zh-CN"/>
        </w:rPr>
      </w:pPr>
      <w:r>
        <w:rPr>
          <w:rFonts w:hint="eastAsia"/>
          <w:color w:val="auto"/>
          <w:sz w:val="24"/>
        </w:rPr>
        <w:t>中国国家认证认可监督管理委员会</w:t>
      </w:r>
      <w:r>
        <w:rPr>
          <w:rFonts w:hint="eastAsia"/>
          <w:color w:val="auto"/>
          <w:sz w:val="24"/>
          <w:lang w:val="en-US" w:eastAsia="zh-CN"/>
        </w:rPr>
        <w:t>CNCA批准认证机构</w:t>
      </w:r>
    </w:p>
    <w:p>
      <w:pPr>
        <w:pStyle w:val="13"/>
        <w:snapToGrid w:val="0"/>
        <w:spacing w:line="400" w:lineRule="exact"/>
        <w:jc w:val="left"/>
        <w:rPr>
          <w:rFonts w:hint="eastAsia" w:ascii="仿宋" w:hAnsi="仿宋" w:eastAsia="仿宋"/>
          <w:color w:val="auto"/>
          <w:lang w:val="en-US" w:eastAsia="zh-CN"/>
        </w:rPr>
      </w:pPr>
      <w:r>
        <w:rPr>
          <w:rFonts w:hint="eastAsia" w:ascii="仿宋" w:hAnsi="仿宋" w:eastAsia="仿宋" w:cs="Times New Roman"/>
          <w:color w:val="auto"/>
        </w:rPr>
        <w:br w:type="page"/>
      </w:r>
      <w:r>
        <w:rPr>
          <w:rFonts w:hint="eastAsia" w:ascii="仿宋" w:hAnsi="仿宋" w:eastAsia="仿宋" w:cs="Times New Roman"/>
          <w:color w:val="auto"/>
        </w:rPr>
        <w:t>甲乙双方依据《中华人民共和国</w:t>
      </w:r>
      <w:r>
        <w:rPr>
          <w:rFonts w:hint="eastAsia" w:ascii="仿宋" w:hAnsi="仿宋" w:eastAsia="仿宋" w:cs="Times New Roman"/>
          <w:color w:val="auto"/>
          <w:lang w:val="en-US" w:eastAsia="zh-CN"/>
        </w:rPr>
        <w:t>民法典</w:t>
      </w:r>
      <w:r>
        <w:rPr>
          <w:rFonts w:hint="eastAsia" w:ascii="仿宋" w:hAnsi="仿宋" w:eastAsia="仿宋" w:cs="Times New Roman"/>
          <w:color w:val="auto"/>
        </w:rPr>
        <w:t>》、《中华人民共和国认证认可条例》、《认证机构管理办法》、《质量管理体系认证规则》和</w:t>
      </w:r>
      <w:r>
        <w:rPr>
          <w:rFonts w:hint="eastAsia" w:ascii="仿宋" w:hAnsi="仿宋" w:eastAsia="仿宋" w:cs="Times New Roman"/>
          <w:color w:val="auto"/>
          <w:lang w:val="en-US" w:eastAsia="zh-CN"/>
        </w:rPr>
        <w:t>相关</w:t>
      </w:r>
      <w:r>
        <w:rPr>
          <w:rFonts w:hint="eastAsia" w:ascii="仿宋" w:hAnsi="仿宋" w:eastAsia="仿宋" w:cs="Times New Roman"/>
          <w:color w:val="auto"/>
        </w:rPr>
        <w:t>国际认证认可规则的要求，</w:t>
      </w:r>
      <w:r>
        <w:rPr>
          <w:rFonts w:ascii="仿宋" w:hAnsi="仿宋" w:eastAsia="仿宋"/>
          <w:color w:val="auto"/>
        </w:rPr>
        <w:t>经双方平等协商，就认证审核达成一致意见，签订本合同，并承诺共同遵守。</w:t>
      </w:r>
      <w:r>
        <w:rPr>
          <w:rFonts w:hint="eastAsia" w:ascii="仿宋" w:hAnsi="仿宋" w:eastAsia="仿宋"/>
          <w:color w:val="auto"/>
          <w:lang w:val="en-US" w:eastAsia="zh-CN"/>
        </w:rPr>
        <w:t xml:space="preserve"> </w:t>
      </w:r>
    </w:p>
    <w:p>
      <w:pPr>
        <w:pStyle w:val="13"/>
        <w:snapToGrid w:val="0"/>
        <w:spacing w:line="400" w:lineRule="exact"/>
        <w:jc w:val="left"/>
        <w:rPr>
          <w:rFonts w:hint="eastAsia" w:ascii="仿宋" w:hAnsi="仿宋" w:eastAsia="仿宋" w:cs="Times New Roman"/>
          <w:color w:val="auto"/>
          <w:lang w:val="en-US" w:eastAsia="zh-CN"/>
        </w:rPr>
      </w:pPr>
      <w:r>
        <w:rPr>
          <w:rFonts w:hint="eastAsia" w:ascii="仿宋" w:hAnsi="仿宋" w:eastAsia="仿宋"/>
          <w:color w:val="auto"/>
          <w:lang w:val="en-US" w:eastAsia="zh-CN"/>
        </w:rPr>
        <w:t>（乙方中博检验认证技术服务（江苏）有限公司在本合同中简称ZBCC）</w:t>
      </w:r>
    </w:p>
    <w:p>
      <w:pPr>
        <w:pStyle w:val="2"/>
        <w:rPr>
          <w:rFonts w:hint="eastAsia"/>
          <w:color w:val="auto"/>
        </w:rPr>
      </w:pPr>
    </w:p>
    <w:p>
      <w:pPr>
        <w:snapToGrid w:val="0"/>
        <w:spacing w:line="400" w:lineRule="exact"/>
        <w:rPr>
          <w:rFonts w:ascii="仿宋" w:hAnsi="仿宋" w:eastAsia="仿宋"/>
          <w:color w:val="auto"/>
        </w:rPr>
      </w:pPr>
      <w:r>
        <w:rPr>
          <w:rFonts w:hint="eastAsia" w:ascii="仿宋" w:hAnsi="仿宋" w:eastAsia="仿宋"/>
          <w:color w:val="auto"/>
        </w:rPr>
        <w:t xml:space="preserve">第一条 </w:t>
      </w:r>
      <w:r>
        <w:rPr>
          <w:rFonts w:ascii="仿宋" w:hAnsi="仿宋" w:eastAsia="仿宋"/>
          <w:color w:val="auto"/>
        </w:rPr>
        <w:t>根据</w:t>
      </w:r>
      <w:r>
        <w:rPr>
          <w:rFonts w:hint="eastAsia" w:ascii="仿宋" w:hAnsi="仿宋" w:eastAsia="仿宋"/>
          <w:color w:val="auto"/>
        </w:rPr>
        <w:t>甲方</w:t>
      </w:r>
      <w:r>
        <w:rPr>
          <w:rFonts w:ascii="仿宋" w:hAnsi="仿宋" w:eastAsia="仿宋"/>
          <w:color w:val="auto"/>
        </w:rPr>
        <w:t>委托，乙方将对甲方建立的</w:t>
      </w:r>
      <w:r>
        <w:rPr>
          <w:rFonts w:hint="eastAsia" w:ascii="仿宋" w:hAnsi="仿宋" w:eastAsia="仿宋"/>
          <w:color w:val="auto"/>
          <w:lang w:val="en-US" w:eastAsia="zh-CN"/>
        </w:rPr>
        <w:t>以下管理体系进行认证</w:t>
      </w:r>
      <w:r>
        <w:rPr>
          <w:rFonts w:ascii="仿宋" w:hAnsi="仿宋" w:eastAsia="仿宋"/>
          <w:color w:val="auto"/>
        </w:rPr>
        <w:t>：</w:t>
      </w:r>
    </w:p>
    <w:p>
      <w:pPr>
        <w:snapToGrid w:val="0"/>
        <w:spacing w:line="400" w:lineRule="exact"/>
        <w:ind w:left="420" w:firstLine="480" w:firstLineChars="200"/>
        <w:jc w:val="left"/>
        <w:rPr>
          <w:rFonts w:hint="eastAsia" w:ascii="仿宋" w:hAnsi="仿宋" w:eastAsia="仿宋"/>
          <w:color w:val="auto"/>
        </w:rPr>
      </w:pPr>
      <w:r>
        <w:rPr>
          <w:rFonts w:hint="eastAsia" w:ascii="宋体" w:hAnsi="宋体" w:cs="Arial"/>
          <w:color w:val="auto"/>
          <w:sz w:val="24"/>
          <w:szCs w:val="24"/>
        </w:rPr>
        <w:sym w:font="Wingdings 2" w:char="0052"/>
      </w:r>
      <w:r>
        <w:rPr>
          <w:rFonts w:ascii="仿宋" w:hAnsi="仿宋" w:eastAsia="仿宋"/>
          <w:color w:val="auto"/>
        </w:rPr>
        <w:t xml:space="preserve"> </w:t>
      </w:r>
      <w:r>
        <w:rPr>
          <w:rFonts w:hint="eastAsia" w:ascii="仿宋" w:hAnsi="仿宋" w:eastAsia="仿宋"/>
          <w:color w:val="auto"/>
          <w:lang w:val="en-US" w:eastAsia="zh-CN"/>
        </w:rPr>
        <w:t>QMS</w:t>
      </w:r>
      <w:r>
        <w:rPr>
          <w:rFonts w:ascii="仿宋" w:hAnsi="仿宋" w:eastAsia="仿宋"/>
          <w:color w:val="auto"/>
        </w:rPr>
        <w:t>质量管理体系</w:t>
      </w:r>
      <w:r>
        <w:rPr>
          <w:rFonts w:hint="eastAsia" w:ascii="仿宋" w:hAnsi="仿宋" w:eastAsia="仿宋"/>
          <w:color w:val="auto"/>
        </w:rPr>
        <w:t xml:space="preserve">      </w:t>
      </w:r>
      <w:r>
        <w:rPr>
          <w:rFonts w:ascii="仿宋" w:hAnsi="仿宋" w:eastAsia="仿宋"/>
          <w:color w:val="auto"/>
        </w:rPr>
        <w:t xml:space="preserve">  </w:t>
      </w:r>
      <w:r>
        <w:rPr>
          <w:rFonts w:hint="eastAsia" w:ascii="宋体" w:hAnsi="宋体" w:cs="Arial"/>
          <w:color w:val="auto"/>
          <w:sz w:val="24"/>
          <w:szCs w:val="24"/>
        </w:rPr>
        <w:t>□</w:t>
      </w:r>
      <w:r>
        <w:rPr>
          <w:rFonts w:ascii="仿宋" w:hAnsi="仿宋" w:eastAsia="仿宋"/>
          <w:color w:val="auto"/>
        </w:rPr>
        <w:t xml:space="preserve"> </w:t>
      </w:r>
      <w:r>
        <w:rPr>
          <w:rFonts w:hint="eastAsia" w:ascii="仿宋" w:hAnsi="仿宋" w:eastAsia="仿宋"/>
          <w:color w:val="auto"/>
          <w:lang w:val="en-US" w:eastAsia="zh-CN"/>
        </w:rPr>
        <w:t>EMS</w:t>
      </w:r>
      <w:r>
        <w:rPr>
          <w:rFonts w:ascii="仿宋" w:hAnsi="仿宋" w:eastAsia="仿宋"/>
          <w:color w:val="auto"/>
        </w:rPr>
        <w:t>环境管理体系</w:t>
      </w:r>
      <w:r>
        <w:rPr>
          <w:rFonts w:hint="eastAsia" w:ascii="仿宋" w:hAnsi="仿宋" w:eastAsia="仿宋"/>
          <w:color w:val="auto"/>
        </w:rPr>
        <w:t xml:space="preserve">      </w:t>
      </w:r>
      <w:r>
        <w:rPr>
          <w:rFonts w:hint="eastAsia" w:ascii="宋体" w:hAnsi="宋体" w:cs="Arial"/>
          <w:color w:val="auto"/>
          <w:sz w:val="24"/>
          <w:szCs w:val="24"/>
        </w:rPr>
        <w:t>□</w:t>
      </w:r>
      <w:r>
        <w:rPr>
          <w:rFonts w:ascii="仿宋" w:hAnsi="仿宋" w:eastAsia="仿宋"/>
          <w:color w:val="auto"/>
        </w:rPr>
        <w:t xml:space="preserve"> </w:t>
      </w:r>
      <w:r>
        <w:rPr>
          <w:rFonts w:hint="eastAsia" w:ascii="仿宋" w:hAnsi="仿宋" w:eastAsia="仿宋"/>
          <w:color w:val="auto"/>
          <w:lang w:val="en-US" w:eastAsia="zh-CN"/>
        </w:rPr>
        <w:t>OHSMS</w:t>
      </w:r>
      <w:r>
        <w:rPr>
          <w:rFonts w:ascii="仿宋" w:hAnsi="仿宋" w:eastAsia="仿宋"/>
          <w:color w:val="auto"/>
        </w:rPr>
        <w:t>职业健康安全管理体系</w:t>
      </w:r>
      <w:r>
        <w:rPr>
          <w:rFonts w:hint="eastAsia" w:ascii="仿宋" w:hAnsi="仿宋" w:eastAsia="仿宋"/>
          <w:color w:val="auto"/>
        </w:rPr>
        <w:t xml:space="preserve"> </w:t>
      </w:r>
    </w:p>
    <w:p>
      <w:pPr>
        <w:snapToGrid w:val="0"/>
        <w:spacing w:line="400" w:lineRule="exact"/>
        <w:ind w:left="420" w:firstLine="480" w:firstLineChars="200"/>
        <w:jc w:val="left"/>
        <w:rPr>
          <w:rFonts w:hint="eastAsia" w:ascii="Arial" w:hAnsi="Arial" w:cs="Arial"/>
          <w:color w:val="auto"/>
          <w:lang w:eastAsia="zh-CN"/>
        </w:rPr>
      </w:pPr>
      <w:r>
        <w:rPr>
          <w:rFonts w:hint="eastAsia" w:ascii="宋体" w:hAnsi="宋体" w:cs="Arial"/>
          <w:color w:val="auto"/>
          <w:sz w:val="24"/>
          <w:szCs w:val="24"/>
        </w:rPr>
        <w:t>□</w:t>
      </w:r>
      <w:r>
        <w:rPr>
          <w:rFonts w:hint="eastAsia" w:ascii="宋体" w:hAnsi="宋体" w:cs="Arial"/>
          <w:color w:val="auto"/>
          <w:lang w:eastAsia="zh-CN"/>
        </w:rPr>
        <w:t xml:space="preserve"> 其他：</w:t>
      </w:r>
    </w:p>
    <w:p>
      <w:pPr>
        <w:pStyle w:val="13"/>
        <w:snapToGrid w:val="0"/>
        <w:spacing w:line="400" w:lineRule="exact"/>
        <w:ind w:left="0"/>
        <w:jc w:val="left"/>
        <w:rPr>
          <w:rFonts w:ascii="仿宋" w:hAnsi="仿宋" w:eastAsia="仿宋"/>
          <w:color w:val="auto"/>
        </w:rPr>
      </w:pPr>
    </w:p>
    <w:p>
      <w:pPr>
        <w:pStyle w:val="13"/>
        <w:snapToGrid w:val="0"/>
        <w:spacing w:line="400" w:lineRule="exact"/>
        <w:ind w:left="0"/>
        <w:jc w:val="left"/>
        <w:rPr>
          <w:rFonts w:ascii="仿宋" w:hAnsi="仿宋" w:eastAsia="仿宋"/>
          <w:color w:val="auto"/>
          <w:u w:val="single"/>
          <w:vertAlign w:val="baseline"/>
        </w:rPr>
      </w:pPr>
      <w:r>
        <w:rPr>
          <w:rFonts w:ascii="仿宋" w:hAnsi="仿宋" w:eastAsia="仿宋"/>
          <w:color w:val="auto"/>
        </w:rPr>
        <w:t xml:space="preserve">第二条 </w:t>
      </w:r>
      <w:r>
        <w:rPr>
          <w:rFonts w:ascii="仿宋" w:hAnsi="仿宋" w:eastAsia="仿宋"/>
          <w:b/>
          <w:bCs/>
          <w:color w:val="auto"/>
        </w:rPr>
        <w:t>认证范围</w:t>
      </w:r>
      <w:r>
        <w:rPr>
          <w:rFonts w:hint="eastAsia" w:ascii="仿宋" w:hAnsi="仿宋" w:eastAsia="仿宋"/>
          <w:color w:val="auto"/>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040" w:type="dxa"/>
            <w:shd w:val="clear" w:color="auto" w:fill="F1F1F1" w:themeFill="background1" w:themeFillShade="F2"/>
          </w:tcPr>
          <w:p>
            <w:pPr>
              <w:snapToGrid w:val="0"/>
              <w:spacing w:line="400" w:lineRule="exact"/>
              <w:jc w:val="left"/>
              <w:rPr>
                <w:rFonts w:hint="default"/>
                <w:color w:val="auto"/>
                <w:lang w:val="en-US" w:eastAsia="zh-CN"/>
              </w:rPr>
            </w:pPr>
          </w:p>
          <w:p>
            <w:pPr>
              <w:pStyle w:val="2"/>
              <w:rPr>
                <w:rFonts w:hint="default"/>
                <w:color w:val="auto"/>
                <w:lang w:val="en-US" w:eastAsia="zh-CN"/>
              </w:rPr>
            </w:pPr>
          </w:p>
        </w:tc>
      </w:tr>
    </w:tbl>
    <w:p>
      <w:pPr>
        <w:snapToGrid w:val="0"/>
        <w:spacing w:line="400" w:lineRule="exact"/>
        <w:ind w:firstLine="180" w:firstLineChars="100"/>
        <w:jc w:val="left"/>
        <w:rPr>
          <w:rFonts w:ascii="仿宋" w:hAnsi="仿宋" w:eastAsia="仿宋"/>
          <w:color w:val="auto"/>
          <w:sz w:val="18"/>
          <w:szCs w:val="18"/>
        </w:rPr>
      </w:pPr>
      <w:r>
        <w:rPr>
          <w:rFonts w:ascii="仿宋" w:hAnsi="仿宋" w:eastAsia="仿宋"/>
          <w:color w:val="auto"/>
          <w:sz w:val="18"/>
          <w:szCs w:val="18"/>
        </w:rPr>
        <w:t>注：以上范围尚需经现场审核进一步确认，最终以乙方认证评定的决定为准。</w:t>
      </w:r>
    </w:p>
    <w:p>
      <w:pPr>
        <w:pStyle w:val="2"/>
        <w:rPr>
          <w:color w:val="auto"/>
        </w:rPr>
      </w:pPr>
    </w:p>
    <w:p>
      <w:pPr>
        <w:spacing w:line="400" w:lineRule="exact"/>
        <w:ind w:firstLine="211" w:firstLineChars="100"/>
        <w:rPr>
          <w:rFonts w:ascii="仿宋" w:hAnsi="仿宋" w:eastAsia="仿宋"/>
          <w:color w:val="auto"/>
          <w:szCs w:val="22"/>
          <w:u w:val="single"/>
        </w:rPr>
      </w:pPr>
      <w:r>
        <w:rPr>
          <w:rFonts w:hint="eastAsia" w:ascii="仿宋" w:hAnsi="仿宋" w:eastAsia="仿宋" w:cs="Times New Roman"/>
          <w:b/>
          <w:bCs/>
          <w:color w:val="auto"/>
          <w:kern w:val="2"/>
          <w:sz w:val="21"/>
          <w:szCs w:val="21"/>
          <w:lang w:val="en-US" w:eastAsia="zh-CN" w:bidi="ar-SA"/>
        </w:rPr>
        <w:t>甲方经营/生产/服务的场所是</w:t>
      </w:r>
      <w:r>
        <w:rPr>
          <w:rFonts w:hint="eastAsia" w:ascii="仿宋" w:hAnsi="仿宋" w:eastAsia="仿宋"/>
          <w:color w:val="auto"/>
          <w:szCs w:val="22"/>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80" w:type="dxa"/>
            <w:shd w:val="clear" w:color="auto" w:fill="F1F1F1" w:themeFill="background1" w:themeFillShade="F2"/>
          </w:tcPr>
          <w:p>
            <w:pPr>
              <w:pStyle w:val="2"/>
              <w:rPr>
                <w:rFonts w:hint="default"/>
                <w:color w:val="auto"/>
                <w:lang w:val="en-US" w:eastAsia="zh-CN"/>
              </w:rPr>
            </w:pPr>
          </w:p>
        </w:tc>
      </w:tr>
    </w:tbl>
    <w:p>
      <w:pPr>
        <w:snapToGrid w:val="0"/>
        <w:spacing w:line="400" w:lineRule="exact"/>
        <w:ind w:firstLine="360" w:firstLineChars="200"/>
        <w:jc w:val="left"/>
        <w:rPr>
          <w:rFonts w:hint="eastAsia" w:ascii="仿宋" w:hAnsi="仿宋" w:eastAsia="仿宋" w:cs="Times New Roman"/>
          <w:color w:val="auto"/>
          <w:sz w:val="18"/>
          <w:szCs w:val="18"/>
        </w:rPr>
      </w:pPr>
      <w:r>
        <w:rPr>
          <w:rFonts w:hint="eastAsia" w:ascii="仿宋" w:hAnsi="仿宋" w:eastAsia="仿宋" w:cs="Times New Roman"/>
          <w:color w:val="auto"/>
          <w:sz w:val="18"/>
          <w:szCs w:val="18"/>
        </w:rPr>
        <w:t>注：以上地址尚需经现场审核进一步确认，最终以乙方认证决定后正式出具的认证证书为准。</w:t>
      </w:r>
    </w:p>
    <w:p>
      <w:pPr>
        <w:numPr>
          <w:ilvl w:val="0"/>
          <w:numId w:val="0"/>
        </w:numPr>
        <w:snapToGrid w:val="0"/>
        <w:spacing w:line="400" w:lineRule="exact"/>
        <w:jc w:val="left"/>
        <w:rPr>
          <w:rFonts w:hint="eastAsia" w:ascii="仿宋" w:hAnsi="仿宋" w:eastAsia="仿宋" w:cs="Times New Roman"/>
          <w:b/>
          <w:bCs/>
          <w:color w:val="auto"/>
          <w:kern w:val="2"/>
          <w:sz w:val="21"/>
          <w:szCs w:val="21"/>
          <w:lang w:val="en-US" w:eastAsia="zh-CN" w:bidi="ar-SA"/>
        </w:rPr>
      </w:pPr>
    </w:p>
    <w:tbl>
      <w:tblPr>
        <w:tblStyle w:val="21"/>
        <w:tblpPr w:leftFromText="180" w:rightFromText="180" w:vertAnchor="text" w:horzAnchor="page" w:tblpX="4262"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0" w:type="dxa"/>
            <w:shd w:val="clear" w:color="auto" w:fill="F1F1F1" w:themeFill="background1" w:themeFillShade="F2"/>
          </w:tcPr>
          <w:p>
            <w:pPr>
              <w:numPr>
                <w:ilvl w:val="0"/>
                <w:numId w:val="0"/>
              </w:numPr>
              <w:snapToGrid w:val="0"/>
              <w:spacing w:line="400" w:lineRule="exact"/>
              <w:jc w:val="left"/>
              <w:rPr>
                <w:rFonts w:hint="eastAsia" w:ascii="宋体" w:hAnsi="宋体"/>
                <w:bCs/>
                <w:color w:val="auto"/>
                <w:sz w:val="18"/>
                <w:szCs w:val="18"/>
                <w:vertAlign w:val="baseline"/>
              </w:rPr>
            </w:pPr>
          </w:p>
        </w:tc>
      </w:tr>
    </w:tbl>
    <w:p>
      <w:pPr>
        <w:numPr>
          <w:ilvl w:val="0"/>
          <w:numId w:val="0"/>
        </w:numPr>
        <w:snapToGrid w:val="0"/>
        <w:spacing w:line="400" w:lineRule="exact"/>
        <w:ind w:firstLine="211" w:firstLineChars="100"/>
        <w:jc w:val="left"/>
        <w:rPr>
          <w:rFonts w:hint="eastAsia" w:ascii="宋体" w:hAnsi="宋体"/>
          <w:bCs/>
          <w:color w:val="auto"/>
          <w:sz w:val="21"/>
          <w:szCs w:val="21"/>
        </w:rPr>
      </w:pPr>
      <w:r>
        <w:rPr>
          <w:rFonts w:hint="eastAsia" w:ascii="仿宋" w:hAnsi="仿宋" w:eastAsia="仿宋" w:cs="Times New Roman"/>
          <w:b/>
          <w:bCs/>
          <w:color w:val="auto"/>
          <w:kern w:val="2"/>
          <w:sz w:val="21"/>
          <w:szCs w:val="21"/>
          <w:lang w:val="en-US" w:eastAsia="zh-CN" w:bidi="ar-SA"/>
        </w:rPr>
        <w:t xml:space="preserve">甲方体系覆盖的员工人数:   </w:t>
      </w:r>
      <w:r>
        <w:rPr>
          <w:rFonts w:hint="eastAsia" w:ascii="宋体" w:hAnsi="宋体"/>
          <w:bCs/>
          <w:color w:val="auto"/>
          <w:sz w:val="21"/>
          <w:szCs w:val="21"/>
          <w:lang w:val="en-US" w:eastAsia="zh-CN"/>
        </w:rPr>
        <w:t>人。</w:t>
      </w:r>
      <w:r>
        <w:rPr>
          <w:rFonts w:hint="eastAsia" w:ascii="宋体" w:hAnsi="宋体"/>
          <w:bCs/>
          <w:color w:val="auto"/>
          <w:sz w:val="21"/>
          <w:szCs w:val="21"/>
        </w:rPr>
        <w:t xml:space="preserve"> </w:t>
      </w:r>
    </w:p>
    <w:p>
      <w:pPr>
        <w:numPr>
          <w:ilvl w:val="0"/>
          <w:numId w:val="0"/>
        </w:numPr>
        <w:snapToGrid w:val="0"/>
        <w:spacing w:line="400" w:lineRule="exact"/>
        <w:jc w:val="left"/>
        <w:rPr>
          <w:rFonts w:hint="eastAsia" w:ascii="仿宋" w:hAnsi="仿宋" w:eastAsia="仿宋" w:cs="Times New Roman"/>
          <w:color w:val="auto"/>
          <w:sz w:val="18"/>
          <w:szCs w:val="18"/>
          <w:lang w:val="en-US" w:eastAsia="zh-CN"/>
        </w:rPr>
      </w:pPr>
    </w:p>
    <w:p>
      <w:pPr>
        <w:numPr>
          <w:ilvl w:val="0"/>
          <w:numId w:val="0"/>
        </w:numPr>
        <w:snapToGrid w:val="0"/>
        <w:spacing w:line="400" w:lineRule="exact"/>
        <w:ind w:firstLine="360" w:firstLineChars="200"/>
        <w:jc w:val="left"/>
        <w:rPr>
          <w:rFonts w:hint="eastAsia" w:ascii="宋体" w:hAnsi="宋体"/>
          <w:color w:val="auto"/>
          <w:sz w:val="21"/>
          <w:szCs w:val="21"/>
        </w:rPr>
      </w:pPr>
      <w:r>
        <w:rPr>
          <w:rFonts w:hint="eastAsia" w:ascii="仿宋" w:hAnsi="仿宋" w:eastAsia="仿宋" w:cs="Times New Roman"/>
          <w:color w:val="auto"/>
          <w:sz w:val="18"/>
          <w:szCs w:val="18"/>
          <w:lang w:val="en-US" w:eastAsia="zh-CN"/>
        </w:rPr>
        <w:t>（注：请如实填报申报人数，如现场审核实际</w:t>
      </w:r>
      <w:r>
        <w:rPr>
          <w:rFonts w:hint="eastAsia" w:ascii="仿宋" w:hAnsi="仿宋" w:eastAsia="仿宋" w:cs="Times New Roman"/>
          <w:color w:val="auto"/>
          <w:sz w:val="18"/>
          <w:szCs w:val="18"/>
        </w:rPr>
        <w:t>员工人数</w:t>
      </w:r>
      <w:r>
        <w:rPr>
          <w:rFonts w:hint="eastAsia" w:ascii="仿宋" w:hAnsi="仿宋" w:eastAsia="仿宋" w:cs="Times New Roman"/>
          <w:color w:val="auto"/>
          <w:sz w:val="18"/>
          <w:szCs w:val="18"/>
          <w:lang w:val="en-US" w:eastAsia="zh-CN"/>
        </w:rPr>
        <w:t>比申报人数多且超出基准人数档的最高限</w:t>
      </w:r>
      <w:r>
        <w:rPr>
          <w:rFonts w:hint="eastAsia" w:ascii="仿宋" w:hAnsi="仿宋" w:eastAsia="仿宋" w:cs="Times New Roman"/>
          <w:color w:val="auto"/>
          <w:sz w:val="18"/>
          <w:szCs w:val="18"/>
        </w:rPr>
        <w:t>或认证范围</w:t>
      </w:r>
      <w:r>
        <w:rPr>
          <w:rFonts w:hint="eastAsia" w:ascii="仿宋" w:hAnsi="仿宋" w:eastAsia="仿宋" w:cs="Times New Roman"/>
          <w:color w:val="auto"/>
          <w:sz w:val="18"/>
          <w:szCs w:val="18"/>
          <w:lang w:val="en-US" w:eastAsia="zh-CN"/>
        </w:rPr>
        <w:t>扩大</w:t>
      </w:r>
      <w:r>
        <w:rPr>
          <w:rFonts w:hint="eastAsia" w:ascii="仿宋" w:hAnsi="仿宋" w:eastAsia="仿宋" w:cs="Times New Roman"/>
          <w:color w:val="auto"/>
          <w:sz w:val="18"/>
          <w:szCs w:val="18"/>
        </w:rPr>
        <w:t>，将</w:t>
      </w:r>
      <w:r>
        <w:rPr>
          <w:rFonts w:hint="eastAsia" w:ascii="仿宋" w:hAnsi="仿宋" w:eastAsia="仿宋" w:cs="Times New Roman"/>
          <w:color w:val="auto"/>
          <w:sz w:val="18"/>
          <w:szCs w:val="18"/>
          <w:lang w:val="en-US" w:eastAsia="zh-CN"/>
        </w:rPr>
        <w:t>可能</w:t>
      </w:r>
      <w:r>
        <w:rPr>
          <w:rFonts w:hint="eastAsia" w:ascii="仿宋" w:hAnsi="仿宋" w:eastAsia="仿宋" w:cs="Times New Roman"/>
          <w:color w:val="auto"/>
          <w:sz w:val="18"/>
          <w:szCs w:val="18"/>
        </w:rPr>
        <w:t>导致审核人天的增加，审核费用依据变化的人天乘人天费用将作相应的调整。</w:t>
      </w:r>
      <w:r>
        <w:rPr>
          <w:rFonts w:hint="eastAsia" w:ascii="仿宋" w:hAnsi="仿宋" w:eastAsia="仿宋" w:cs="Times New Roman"/>
          <w:color w:val="auto"/>
          <w:sz w:val="18"/>
          <w:szCs w:val="18"/>
          <w:lang w:val="en-US" w:eastAsia="zh-CN"/>
        </w:rPr>
        <w:t>增加的人天费用为单体系800元/人天、双体系1000元/人天、三体系1200元/人天</w:t>
      </w:r>
      <w:r>
        <w:rPr>
          <w:rFonts w:hint="eastAsia" w:ascii="仿宋" w:hAnsi="仿宋" w:eastAsia="仿宋" w:cs="Times New Roman"/>
          <w:color w:val="auto"/>
          <w:sz w:val="18"/>
          <w:szCs w:val="18"/>
          <w:lang w:eastAsia="zh-CN"/>
        </w:rPr>
        <w:t>）</w:t>
      </w:r>
      <w:r>
        <w:rPr>
          <w:rFonts w:hint="eastAsia" w:ascii="宋体" w:hAnsi="宋体"/>
          <w:color w:val="auto"/>
          <w:sz w:val="21"/>
          <w:szCs w:val="21"/>
        </w:rPr>
        <w:br w:type="textWrapping"/>
      </w:r>
      <w:r>
        <w:rPr>
          <w:rFonts w:hint="eastAsia" w:ascii="宋体" w:hAnsi="宋体"/>
          <w:color w:val="auto"/>
          <w:sz w:val="21"/>
          <w:szCs w:val="21"/>
        </w:rPr>
        <w:t xml:space="preserve">                                                             </w:t>
      </w:r>
    </w:p>
    <w:p>
      <w:pPr>
        <w:spacing w:line="380" w:lineRule="exact"/>
        <w:rPr>
          <w:rFonts w:hint="eastAsia" w:ascii="宋体" w:hAnsi="宋体"/>
          <w:color w:val="auto"/>
          <w:sz w:val="21"/>
          <w:szCs w:val="21"/>
        </w:rPr>
      </w:pPr>
      <w:r>
        <w:rPr>
          <w:rFonts w:hint="eastAsia" w:ascii="仿宋" w:hAnsi="仿宋" w:eastAsia="仿宋" w:cs="仿宋"/>
          <w:color w:val="auto"/>
          <w:sz w:val="21"/>
          <w:szCs w:val="21"/>
        </w:rPr>
        <w:t>如甲方管理体系覆盖的</w:t>
      </w:r>
      <w:r>
        <w:rPr>
          <w:rFonts w:hint="eastAsia" w:ascii="仿宋" w:hAnsi="仿宋" w:eastAsia="仿宋" w:cs="仿宋"/>
          <w:color w:val="auto"/>
          <w:sz w:val="21"/>
          <w:szCs w:val="21"/>
          <w:lang w:val="en-US" w:eastAsia="zh-CN"/>
        </w:rPr>
        <w:t>边界</w:t>
      </w:r>
      <w:r>
        <w:rPr>
          <w:rFonts w:hint="eastAsia" w:ascii="仿宋" w:hAnsi="仿宋" w:eastAsia="仿宋" w:cs="仿宋"/>
          <w:color w:val="auto"/>
          <w:sz w:val="21"/>
          <w:szCs w:val="21"/>
        </w:rPr>
        <w:t>为（□是 □否）多场所（分公司、子公司或不在同一地点的部门、临时场所），甲方（□是 □否）需填写《</w:t>
      </w:r>
      <w:r>
        <w:rPr>
          <w:rFonts w:hint="eastAsia" w:ascii="仿宋" w:hAnsi="仿宋" w:eastAsia="仿宋" w:cs="仿宋"/>
          <w:color w:val="auto"/>
          <w:sz w:val="21"/>
          <w:szCs w:val="21"/>
          <w:lang w:val="en-US" w:eastAsia="zh-CN"/>
        </w:rPr>
        <w:t>多场</w:t>
      </w:r>
      <w:r>
        <w:rPr>
          <w:rFonts w:hint="eastAsia" w:ascii="仿宋" w:hAnsi="仿宋" w:eastAsia="仿宋" w:cs="仿宋"/>
          <w:color w:val="auto"/>
          <w:sz w:val="21"/>
          <w:szCs w:val="21"/>
        </w:rPr>
        <w:t>所清单》作为本合同的附件。</w:t>
      </w:r>
    </w:p>
    <w:p>
      <w:pPr>
        <w:snapToGrid w:val="0"/>
        <w:spacing w:line="400" w:lineRule="exact"/>
        <w:ind w:left="-38"/>
        <w:jc w:val="left"/>
        <w:rPr>
          <w:rFonts w:ascii="仿宋" w:hAnsi="仿宋" w:eastAsia="仿宋"/>
          <w:color w:val="auto"/>
        </w:rPr>
      </w:pPr>
    </w:p>
    <w:p>
      <w:pPr>
        <w:snapToGrid w:val="0"/>
        <w:spacing w:line="400" w:lineRule="exact"/>
        <w:ind w:left="-38"/>
        <w:jc w:val="left"/>
        <w:rPr>
          <w:rFonts w:ascii="仿宋" w:hAnsi="仿宋" w:eastAsia="仿宋"/>
          <w:color w:val="auto"/>
        </w:rPr>
      </w:pPr>
      <w:r>
        <w:rPr>
          <w:rFonts w:ascii="仿宋" w:hAnsi="仿宋" w:eastAsia="仿宋"/>
          <w:color w:val="auto"/>
        </w:rPr>
        <w:t>第三条 经双方约定的审核依据是：</w:t>
      </w:r>
    </w:p>
    <w:p>
      <w:pPr>
        <w:snapToGrid w:val="0"/>
        <w:spacing w:line="400" w:lineRule="exact"/>
        <w:ind w:left="420" w:firstLine="360" w:firstLineChars="150"/>
        <w:jc w:val="left"/>
        <w:rPr>
          <w:rFonts w:hint="eastAsia" w:ascii="仿宋" w:hAnsi="仿宋" w:eastAsia="仿宋"/>
          <w:color w:val="auto"/>
        </w:rPr>
      </w:pPr>
      <w:r>
        <w:rPr>
          <w:rFonts w:hint="eastAsia" w:ascii="宋体" w:hAnsi="宋体" w:cs="Arial"/>
          <w:color w:val="auto"/>
          <w:sz w:val="24"/>
          <w:szCs w:val="24"/>
        </w:rPr>
        <w:sym w:font="Wingdings 2" w:char="00A3"/>
      </w:r>
      <w:r>
        <w:rPr>
          <w:rFonts w:ascii="仿宋" w:hAnsi="仿宋" w:eastAsia="仿宋"/>
          <w:color w:val="auto"/>
        </w:rPr>
        <w:t xml:space="preserve"> GB/T 19001</w:t>
      </w:r>
      <w:r>
        <w:rPr>
          <w:rFonts w:hint="eastAsia" w:ascii="仿宋" w:hAnsi="仿宋" w:eastAsia="仿宋"/>
          <w:color w:val="auto"/>
        </w:rPr>
        <w:t>-</w:t>
      </w:r>
      <w:r>
        <w:rPr>
          <w:rFonts w:ascii="仿宋" w:hAnsi="仿宋" w:eastAsia="仿宋"/>
          <w:color w:val="auto"/>
        </w:rPr>
        <w:t>2016</w:t>
      </w:r>
      <w:r>
        <w:rPr>
          <w:rFonts w:hint="eastAsia" w:ascii="仿宋" w:hAnsi="仿宋" w:eastAsia="仿宋"/>
          <w:color w:val="auto"/>
        </w:rPr>
        <w:t xml:space="preserve"> </w:t>
      </w:r>
      <w:r>
        <w:rPr>
          <w:rFonts w:ascii="仿宋" w:hAnsi="仿宋" w:eastAsia="仿宋"/>
          <w:color w:val="auto"/>
        </w:rPr>
        <w:t>idt ISO</w:t>
      </w:r>
      <w:r>
        <w:rPr>
          <w:rFonts w:hint="eastAsia" w:ascii="仿宋" w:hAnsi="仿宋" w:eastAsia="仿宋"/>
          <w:color w:val="auto"/>
        </w:rPr>
        <w:t xml:space="preserve"> </w:t>
      </w:r>
      <w:r>
        <w:rPr>
          <w:rFonts w:ascii="仿宋" w:hAnsi="仿宋" w:eastAsia="仿宋"/>
          <w:color w:val="auto"/>
        </w:rPr>
        <w:t>9001</w:t>
      </w:r>
      <w:r>
        <w:rPr>
          <w:rFonts w:hint="eastAsia" w:ascii="仿宋" w:hAnsi="仿宋" w:eastAsia="仿宋"/>
          <w:color w:val="auto"/>
        </w:rPr>
        <w:t>:</w:t>
      </w:r>
      <w:r>
        <w:rPr>
          <w:rFonts w:ascii="仿宋" w:hAnsi="仿宋" w:eastAsia="仿宋"/>
          <w:color w:val="auto"/>
        </w:rPr>
        <w:t>20</w:t>
      </w:r>
      <w:r>
        <w:rPr>
          <w:rFonts w:hint="eastAsia" w:ascii="仿宋" w:hAnsi="仿宋" w:eastAsia="仿宋"/>
          <w:color w:val="auto"/>
        </w:rPr>
        <w:t xml:space="preserve">15        </w:t>
      </w:r>
    </w:p>
    <w:p>
      <w:pPr>
        <w:snapToGrid w:val="0"/>
        <w:spacing w:line="400" w:lineRule="exact"/>
        <w:ind w:left="420" w:firstLine="360" w:firstLineChars="150"/>
        <w:jc w:val="left"/>
        <w:rPr>
          <w:rFonts w:ascii="仿宋" w:hAnsi="仿宋" w:eastAsia="仿宋"/>
          <w:color w:val="auto"/>
        </w:rPr>
      </w:pPr>
      <w:r>
        <w:rPr>
          <w:rFonts w:hint="eastAsia" w:ascii="宋体" w:hAnsi="宋体" w:cs="Arial"/>
          <w:color w:val="auto"/>
          <w:sz w:val="24"/>
          <w:szCs w:val="24"/>
        </w:rPr>
        <w:t>□</w:t>
      </w:r>
      <w:r>
        <w:rPr>
          <w:rFonts w:ascii="仿宋" w:hAnsi="仿宋" w:eastAsia="仿宋"/>
          <w:color w:val="auto"/>
        </w:rPr>
        <w:t xml:space="preserve"> GB/T 24001</w:t>
      </w:r>
      <w:r>
        <w:rPr>
          <w:rFonts w:hint="eastAsia" w:ascii="仿宋" w:hAnsi="仿宋" w:eastAsia="仿宋"/>
          <w:color w:val="auto"/>
        </w:rPr>
        <w:t>-</w:t>
      </w:r>
      <w:r>
        <w:rPr>
          <w:rFonts w:ascii="仿宋" w:hAnsi="仿宋" w:eastAsia="仿宋"/>
          <w:color w:val="auto"/>
        </w:rPr>
        <w:t>20</w:t>
      </w:r>
      <w:r>
        <w:rPr>
          <w:rFonts w:hint="eastAsia" w:ascii="仿宋" w:hAnsi="仿宋" w:eastAsia="仿宋"/>
          <w:color w:val="auto"/>
        </w:rPr>
        <w:t>16</w:t>
      </w:r>
      <w:r>
        <w:rPr>
          <w:rFonts w:ascii="仿宋" w:hAnsi="仿宋" w:eastAsia="仿宋"/>
          <w:color w:val="auto"/>
        </w:rPr>
        <w:t xml:space="preserve"> idt</w:t>
      </w:r>
      <w:r>
        <w:rPr>
          <w:rFonts w:hint="eastAsia" w:ascii="仿宋" w:hAnsi="仿宋" w:eastAsia="仿宋"/>
          <w:color w:val="auto"/>
        </w:rPr>
        <w:t xml:space="preserve"> </w:t>
      </w:r>
      <w:r>
        <w:rPr>
          <w:rFonts w:ascii="仿宋" w:hAnsi="仿宋" w:eastAsia="仿宋"/>
          <w:color w:val="auto"/>
        </w:rPr>
        <w:t>ISO</w:t>
      </w:r>
      <w:r>
        <w:rPr>
          <w:rFonts w:hint="eastAsia" w:ascii="仿宋" w:hAnsi="仿宋" w:eastAsia="仿宋"/>
          <w:color w:val="auto"/>
        </w:rPr>
        <w:t xml:space="preserve"> </w:t>
      </w:r>
      <w:r>
        <w:rPr>
          <w:rFonts w:ascii="仿宋" w:hAnsi="仿宋" w:eastAsia="仿宋"/>
          <w:color w:val="auto"/>
        </w:rPr>
        <w:t>14001</w:t>
      </w:r>
      <w:r>
        <w:rPr>
          <w:rFonts w:hint="eastAsia" w:ascii="仿宋" w:hAnsi="仿宋" w:eastAsia="仿宋"/>
          <w:color w:val="auto"/>
        </w:rPr>
        <w:t>:</w:t>
      </w:r>
      <w:r>
        <w:rPr>
          <w:rFonts w:ascii="仿宋" w:hAnsi="仿宋" w:eastAsia="仿宋"/>
          <w:color w:val="auto"/>
        </w:rPr>
        <w:t>20</w:t>
      </w:r>
      <w:r>
        <w:rPr>
          <w:rFonts w:hint="eastAsia" w:ascii="仿宋" w:hAnsi="仿宋" w:eastAsia="仿宋"/>
          <w:color w:val="auto"/>
        </w:rPr>
        <w:t>15</w:t>
      </w:r>
      <w:r>
        <w:rPr>
          <w:rFonts w:ascii="仿宋" w:hAnsi="仿宋" w:eastAsia="仿宋"/>
          <w:color w:val="auto"/>
        </w:rPr>
        <w:t xml:space="preserve"> </w:t>
      </w:r>
    </w:p>
    <w:p>
      <w:pPr>
        <w:snapToGrid w:val="0"/>
        <w:spacing w:line="400" w:lineRule="exact"/>
        <w:ind w:left="420" w:firstLine="360" w:firstLineChars="150"/>
        <w:jc w:val="left"/>
        <w:rPr>
          <w:rFonts w:ascii="仿宋" w:hAnsi="仿宋" w:eastAsia="仿宋"/>
          <w:color w:val="auto"/>
        </w:rPr>
      </w:pPr>
      <w:r>
        <w:rPr>
          <w:rFonts w:hint="eastAsia" w:ascii="宋体" w:hAnsi="宋体" w:cs="Arial"/>
          <w:color w:val="auto"/>
          <w:sz w:val="24"/>
          <w:szCs w:val="24"/>
        </w:rPr>
        <w:t>□</w:t>
      </w:r>
      <w:r>
        <w:rPr>
          <w:rFonts w:ascii="仿宋" w:hAnsi="仿宋" w:eastAsia="仿宋"/>
          <w:color w:val="auto"/>
        </w:rPr>
        <w:t xml:space="preserve"> GB/T 45001</w:t>
      </w:r>
      <w:r>
        <w:rPr>
          <w:rFonts w:hint="eastAsia" w:ascii="仿宋" w:hAnsi="仿宋" w:eastAsia="仿宋"/>
          <w:color w:val="auto"/>
        </w:rPr>
        <w:t>-</w:t>
      </w:r>
      <w:r>
        <w:rPr>
          <w:rFonts w:ascii="仿宋" w:hAnsi="仿宋" w:eastAsia="仿宋"/>
          <w:color w:val="auto"/>
        </w:rPr>
        <w:t>2020</w:t>
      </w:r>
      <w:r>
        <w:rPr>
          <w:rFonts w:hint="eastAsia" w:ascii="仿宋" w:hAnsi="仿宋" w:eastAsia="仿宋"/>
          <w:color w:val="auto"/>
        </w:rPr>
        <w:t xml:space="preserve"> </w:t>
      </w:r>
      <w:r>
        <w:rPr>
          <w:rFonts w:ascii="仿宋" w:hAnsi="仿宋" w:eastAsia="仿宋"/>
          <w:color w:val="auto"/>
        </w:rPr>
        <w:t xml:space="preserve">idt </w:t>
      </w:r>
      <w:r>
        <w:rPr>
          <w:rFonts w:hint="eastAsia" w:ascii="仿宋" w:hAnsi="仿宋" w:eastAsia="仿宋"/>
          <w:color w:val="auto"/>
        </w:rPr>
        <w:t xml:space="preserve">ISO 45001:2018   </w:t>
      </w:r>
      <w:r>
        <w:rPr>
          <w:rFonts w:ascii="仿宋" w:hAnsi="仿宋" w:eastAsia="仿宋"/>
          <w:color w:val="auto"/>
        </w:rPr>
        <w:t xml:space="preserve">    </w:t>
      </w:r>
    </w:p>
    <w:p>
      <w:pPr>
        <w:snapToGrid w:val="0"/>
        <w:spacing w:line="400" w:lineRule="exact"/>
        <w:ind w:left="420" w:firstLine="360" w:firstLineChars="150"/>
        <w:jc w:val="left"/>
        <w:rPr>
          <w:rFonts w:ascii="仿宋" w:hAnsi="仿宋" w:eastAsia="仿宋"/>
          <w:color w:val="auto"/>
        </w:rPr>
      </w:pPr>
      <w:r>
        <w:rPr>
          <w:rFonts w:hint="eastAsia" w:ascii="宋体" w:hAnsi="宋体" w:cs="Arial"/>
          <w:color w:val="auto"/>
          <w:sz w:val="24"/>
          <w:szCs w:val="24"/>
        </w:rPr>
        <w:sym w:font="Wingdings 2" w:char="0052"/>
      </w:r>
      <w:r>
        <w:rPr>
          <w:rFonts w:ascii="仿宋" w:hAnsi="仿宋" w:eastAsia="仿宋"/>
          <w:color w:val="auto"/>
        </w:rPr>
        <w:t xml:space="preserve"> 甲方按上述标准建立的体系有关文件</w:t>
      </w:r>
    </w:p>
    <w:p>
      <w:pPr>
        <w:snapToGrid w:val="0"/>
        <w:spacing w:line="400" w:lineRule="exact"/>
        <w:ind w:left="420" w:firstLine="360" w:firstLineChars="150"/>
        <w:jc w:val="left"/>
        <w:rPr>
          <w:rFonts w:ascii="仿宋" w:hAnsi="仿宋" w:eastAsia="仿宋"/>
          <w:color w:val="auto"/>
        </w:rPr>
      </w:pPr>
      <w:r>
        <w:rPr>
          <w:rFonts w:hint="eastAsia" w:ascii="宋体" w:hAnsi="宋体" w:cs="Arial"/>
          <w:color w:val="auto"/>
          <w:sz w:val="24"/>
          <w:szCs w:val="24"/>
        </w:rPr>
        <w:sym w:font="Wingdings 2" w:char="0052"/>
      </w:r>
      <w:r>
        <w:rPr>
          <w:rFonts w:ascii="仿宋" w:hAnsi="仿宋" w:eastAsia="仿宋"/>
          <w:color w:val="auto"/>
        </w:rPr>
        <w:t xml:space="preserve"> 有关法律法规文件</w:t>
      </w:r>
    </w:p>
    <w:p>
      <w:pPr>
        <w:snapToGrid w:val="0"/>
        <w:spacing w:line="400" w:lineRule="exact"/>
        <w:ind w:left="420" w:firstLine="360" w:firstLineChars="150"/>
        <w:jc w:val="left"/>
        <w:rPr>
          <w:rFonts w:hint="eastAsia" w:ascii="仿宋" w:hAnsi="仿宋" w:eastAsia="仿宋"/>
          <w:color w:val="auto"/>
        </w:rPr>
      </w:pPr>
      <w:r>
        <w:rPr>
          <w:rFonts w:hint="eastAsia" w:ascii="宋体" w:hAnsi="宋体" w:cs="Arial"/>
          <w:color w:val="auto"/>
          <w:sz w:val="24"/>
          <w:szCs w:val="24"/>
        </w:rPr>
        <w:t>□</w:t>
      </w:r>
      <w:r>
        <w:rPr>
          <w:rFonts w:ascii="仿宋" w:hAnsi="仿宋" w:eastAsia="仿宋"/>
          <w:color w:val="auto"/>
        </w:rPr>
        <w:t xml:space="preserve"> </w:t>
      </w:r>
      <w:r>
        <w:rPr>
          <w:rFonts w:hint="eastAsia" w:ascii="仿宋" w:hAnsi="仿宋" w:eastAsia="仿宋"/>
          <w:color w:val="auto"/>
        </w:rPr>
        <w:t>其他：</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snapToGrid w:val="0"/>
        <w:spacing w:line="400" w:lineRule="exact"/>
        <w:jc w:val="left"/>
        <w:rPr>
          <w:rFonts w:hint="eastAsia" w:ascii="仿宋" w:hAnsi="仿宋" w:eastAsia="仿宋"/>
          <w:b/>
          <w:bCs/>
          <w:color w:val="auto"/>
        </w:rPr>
      </w:pPr>
      <w:r>
        <w:rPr>
          <w:rFonts w:ascii="仿宋" w:hAnsi="仿宋" w:eastAsia="仿宋"/>
          <w:b/>
          <w:bCs/>
          <w:color w:val="auto"/>
        </w:rPr>
        <w:t>第</w:t>
      </w:r>
      <w:r>
        <w:rPr>
          <w:rFonts w:hint="eastAsia" w:ascii="仿宋" w:hAnsi="仿宋" w:eastAsia="仿宋"/>
          <w:b/>
          <w:bCs/>
          <w:color w:val="auto"/>
          <w:lang w:val="en-US" w:eastAsia="zh-CN"/>
        </w:rPr>
        <w:t>四</w:t>
      </w:r>
      <w:r>
        <w:rPr>
          <w:rFonts w:ascii="仿宋" w:hAnsi="仿宋" w:eastAsia="仿宋"/>
          <w:b/>
          <w:bCs/>
          <w:color w:val="auto"/>
        </w:rPr>
        <w:t xml:space="preserve">条 </w:t>
      </w:r>
      <w:r>
        <w:rPr>
          <w:rFonts w:hint="eastAsia" w:ascii="仿宋" w:hAnsi="仿宋" w:eastAsia="仿宋"/>
          <w:b/>
          <w:bCs/>
          <w:color w:val="auto"/>
        </w:rPr>
        <w:t>认</w:t>
      </w:r>
      <w:r>
        <w:rPr>
          <w:rFonts w:ascii="仿宋" w:hAnsi="仿宋" w:eastAsia="仿宋"/>
          <w:b/>
          <w:bCs/>
          <w:color w:val="auto"/>
        </w:rPr>
        <w:t>证费用及支付方式：</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24" w:type="dxa"/>
            <w:noWrap w:val="0"/>
            <w:vAlign w:val="top"/>
          </w:tcPr>
          <w:p>
            <w:pPr>
              <w:spacing w:line="380" w:lineRule="exact"/>
              <w:jc w:val="center"/>
              <w:rPr>
                <w:rFonts w:hint="eastAsia" w:ascii="宋体" w:hAnsi="宋体"/>
                <w:b/>
                <w:bCs/>
                <w:color w:val="auto"/>
                <w:sz w:val="24"/>
              </w:rPr>
            </w:pPr>
            <w:r>
              <w:rPr>
                <w:rFonts w:hint="eastAsia" w:ascii="宋体" w:hAnsi="宋体"/>
                <w:b/>
                <w:bCs/>
                <w:color w:val="auto"/>
                <w:sz w:val="24"/>
              </w:rPr>
              <w:t>项</w:t>
            </w:r>
            <w:r>
              <w:rPr>
                <w:rFonts w:hint="eastAsia" w:ascii="宋体" w:hAnsi="宋体"/>
                <w:b/>
                <w:bCs/>
                <w:color w:val="auto"/>
                <w:sz w:val="24"/>
                <w:lang w:val="en-US" w:eastAsia="zh-CN"/>
              </w:rPr>
              <w:t xml:space="preserve">  </w:t>
            </w:r>
            <w:r>
              <w:rPr>
                <w:rFonts w:hint="eastAsia" w:ascii="宋体" w:hAnsi="宋体"/>
                <w:b/>
                <w:bCs/>
                <w:color w:val="auto"/>
                <w:sz w:val="24"/>
              </w:rPr>
              <w:t>目</w:t>
            </w:r>
          </w:p>
        </w:tc>
        <w:tc>
          <w:tcPr>
            <w:tcW w:w="5155" w:type="dxa"/>
            <w:noWrap w:val="0"/>
            <w:vAlign w:val="top"/>
          </w:tcPr>
          <w:p>
            <w:pPr>
              <w:spacing w:line="380" w:lineRule="exact"/>
              <w:jc w:val="center"/>
              <w:rPr>
                <w:rFonts w:hint="eastAsia" w:ascii="宋体" w:hAnsi="宋体"/>
                <w:b/>
                <w:bCs/>
                <w:color w:val="auto"/>
                <w:sz w:val="24"/>
              </w:rPr>
            </w:pPr>
            <w:r>
              <w:rPr>
                <w:rFonts w:hint="eastAsia" w:ascii="宋体" w:hAnsi="宋体"/>
                <w:b/>
                <w:bCs/>
                <w:color w:val="auto"/>
                <w:sz w:val="24"/>
                <w:lang w:val="en-US" w:eastAsia="zh-CN"/>
              </w:rPr>
              <w:t>认证</w:t>
            </w:r>
            <w:r>
              <w:rPr>
                <w:rFonts w:hint="eastAsia" w:ascii="宋体" w:hAnsi="宋体"/>
                <w:b/>
                <w:bCs/>
                <w:color w:val="auto"/>
                <w:sz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024" w:type="dxa"/>
            <w:noWrap w:val="0"/>
            <w:vAlign w:val="center"/>
          </w:tcPr>
          <w:p>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auto"/>
              </w:rPr>
              <w:t>初审 认证费总计</w:t>
            </w:r>
            <w:r>
              <w:rPr>
                <w:rFonts w:hint="eastAsia" w:ascii="仿宋" w:hAnsi="仿宋" w:eastAsia="仿宋" w:cs="Times New Roman"/>
                <w:color w:val="auto"/>
                <w:lang w:eastAsia="zh-CN"/>
              </w:rPr>
              <w:t>：</w:t>
            </w:r>
          </w:p>
        </w:tc>
        <w:tc>
          <w:tcPr>
            <w:tcW w:w="5155" w:type="dxa"/>
            <w:shd w:val="clear" w:color="auto" w:fill="F1F1F1" w:themeFill="background1" w:themeFillShade="F2"/>
            <w:noWrap w:val="0"/>
            <w:vAlign w:val="center"/>
          </w:tcPr>
          <w:p>
            <w:pPr>
              <w:spacing w:line="380" w:lineRule="exact"/>
              <w:jc w:val="center"/>
              <w:rPr>
                <w:rFonts w:hint="default" w:ascii="宋体" w:hAnsi="宋体" w:eastAsia="宋体"/>
                <w:color w:val="auto"/>
                <w:sz w:val="24"/>
                <w:lang w:val="en-US" w:eastAsia="zh-CN"/>
              </w:rPr>
            </w:pPr>
            <w:r>
              <w:rPr>
                <w:rFonts w:hint="default" w:ascii="仿宋" w:hAnsi="仿宋" w:eastAsia="仿宋" w:cs="Times New Roman"/>
                <w:color w:val="auto"/>
              </w:rPr>
              <w:t>¥</w:t>
            </w:r>
            <w:r>
              <w:rPr>
                <w:rFonts w:hint="eastAsia" w:ascii="仿宋" w:hAnsi="仿宋" w:eastAsia="仿宋" w:cs="Times New Roman"/>
                <w:color w:val="auto"/>
                <w:u w:val="single"/>
                <w:lang w:val="en-US" w:eastAsia="zh-CN"/>
              </w:rPr>
              <w:t xml:space="preserve">        </w:t>
            </w:r>
            <w:r>
              <w:rPr>
                <w:rFonts w:hint="eastAsia" w:ascii="仿宋" w:hAnsi="仿宋" w:eastAsia="仿宋" w:cs="Times New Roman"/>
                <w:color w:val="auto"/>
                <w:lang w:val="en-US" w:eastAsia="zh-CN"/>
              </w:rPr>
              <w:t>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024" w:type="dxa"/>
            <w:noWrap w:val="0"/>
            <w:vAlign w:val="center"/>
          </w:tcPr>
          <w:p>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auto"/>
                <w:lang w:val="en-US" w:eastAsia="zh-CN"/>
              </w:rPr>
              <w:t>年审/年度</w:t>
            </w:r>
            <w:r>
              <w:rPr>
                <w:rFonts w:hint="eastAsia" w:ascii="仿宋" w:hAnsi="仿宋" w:eastAsia="仿宋" w:cs="Times New Roman"/>
                <w:color w:val="auto"/>
              </w:rPr>
              <w:t>监督审核</w:t>
            </w:r>
            <w:r>
              <w:rPr>
                <w:rFonts w:hint="eastAsia" w:ascii="仿宋" w:hAnsi="仿宋" w:eastAsia="仿宋" w:cs="Times New Roman"/>
                <w:color w:val="auto"/>
                <w:lang w:val="en-US" w:eastAsia="zh-CN"/>
              </w:rPr>
              <w:t xml:space="preserve"> </w:t>
            </w:r>
            <w:r>
              <w:rPr>
                <w:rFonts w:hint="eastAsia" w:ascii="仿宋" w:hAnsi="仿宋" w:eastAsia="仿宋" w:cs="Times New Roman"/>
                <w:color w:val="auto"/>
              </w:rPr>
              <w:t>费用总计</w:t>
            </w:r>
            <w:r>
              <w:rPr>
                <w:rFonts w:hint="eastAsia" w:ascii="仿宋" w:hAnsi="仿宋" w:eastAsia="仿宋" w:cs="Times New Roman"/>
                <w:color w:val="auto"/>
                <w:lang w:eastAsia="zh-CN"/>
              </w:rPr>
              <w:t>：</w:t>
            </w:r>
          </w:p>
        </w:tc>
        <w:tc>
          <w:tcPr>
            <w:tcW w:w="5155" w:type="dxa"/>
            <w:shd w:val="clear" w:color="auto" w:fill="F1F1F1" w:themeFill="background1" w:themeFillShade="F2"/>
            <w:noWrap w:val="0"/>
            <w:vAlign w:val="center"/>
          </w:tcPr>
          <w:p>
            <w:pPr>
              <w:spacing w:line="380" w:lineRule="exact"/>
              <w:jc w:val="center"/>
              <w:rPr>
                <w:rFonts w:hint="eastAsia" w:ascii="宋体" w:hAnsi="宋体"/>
                <w:color w:val="auto"/>
                <w:sz w:val="24"/>
              </w:rPr>
            </w:pPr>
            <w:r>
              <w:rPr>
                <w:rFonts w:hint="default" w:ascii="仿宋" w:hAnsi="仿宋" w:eastAsia="仿宋" w:cs="Times New Roman"/>
                <w:color w:val="auto"/>
              </w:rPr>
              <w:t>¥</w:t>
            </w:r>
            <w:r>
              <w:rPr>
                <w:rFonts w:hint="eastAsia" w:ascii="仿宋" w:hAnsi="仿宋" w:eastAsia="仿宋" w:cs="Times New Roman"/>
                <w:color w:val="auto"/>
                <w:u w:val="single"/>
                <w:lang w:val="en-US" w:eastAsia="zh-CN"/>
              </w:rPr>
              <w:t xml:space="preserve">        </w:t>
            </w:r>
            <w:r>
              <w:rPr>
                <w:rFonts w:hint="eastAsia" w:ascii="仿宋" w:hAnsi="仿宋" w:eastAsia="仿宋" w:cs="Times New Roman"/>
                <w:color w:val="auto"/>
                <w:lang w:val="en-US" w:eastAsia="zh-CN"/>
              </w:rPr>
              <w:t>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024" w:type="dxa"/>
            <w:noWrap w:val="0"/>
            <w:vAlign w:val="center"/>
          </w:tcPr>
          <w:p>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auto"/>
                <w:lang w:val="en-US" w:eastAsia="zh-CN"/>
              </w:rPr>
              <w:t>证书到期</w:t>
            </w:r>
            <w:r>
              <w:rPr>
                <w:rFonts w:hint="eastAsia" w:ascii="仿宋" w:hAnsi="仿宋" w:eastAsia="仿宋" w:cs="Times New Roman"/>
                <w:color w:val="auto"/>
              </w:rPr>
              <w:t>再认证 认证费总计</w:t>
            </w:r>
            <w:r>
              <w:rPr>
                <w:rFonts w:hint="eastAsia" w:ascii="仿宋" w:hAnsi="仿宋" w:eastAsia="仿宋" w:cs="Times New Roman"/>
                <w:color w:val="auto"/>
                <w:lang w:eastAsia="zh-CN"/>
              </w:rPr>
              <w:t>：</w:t>
            </w:r>
          </w:p>
        </w:tc>
        <w:tc>
          <w:tcPr>
            <w:tcW w:w="5155" w:type="dxa"/>
            <w:shd w:val="clear" w:color="auto" w:fill="F1F1F1" w:themeFill="background1" w:themeFillShade="F2"/>
            <w:noWrap w:val="0"/>
            <w:vAlign w:val="center"/>
          </w:tcPr>
          <w:p>
            <w:pPr>
              <w:spacing w:line="380" w:lineRule="exact"/>
              <w:jc w:val="center"/>
              <w:rPr>
                <w:rFonts w:hint="eastAsia" w:ascii="宋体" w:hAnsi="宋体"/>
                <w:color w:val="auto"/>
                <w:sz w:val="24"/>
              </w:rPr>
            </w:pPr>
            <w:r>
              <w:rPr>
                <w:rFonts w:hint="default" w:ascii="仿宋" w:hAnsi="仿宋" w:eastAsia="仿宋" w:cs="Times New Roman"/>
                <w:color w:val="auto"/>
              </w:rPr>
              <w:t>¥</w:t>
            </w:r>
            <w:r>
              <w:rPr>
                <w:rFonts w:hint="eastAsia" w:ascii="仿宋" w:hAnsi="仿宋" w:eastAsia="仿宋" w:cs="Times New Roman"/>
                <w:color w:val="auto"/>
                <w:u w:val="single"/>
                <w:lang w:val="en-US" w:eastAsia="zh-CN"/>
              </w:rPr>
              <w:t xml:space="preserve">        </w:t>
            </w:r>
            <w:r>
              <w:rPr>
                <w:rFonts w:hint="eastAsia" w:ascii="仿宋" w:hAnsi="仿宋" w:eastAsia="仿宋" w:cs="Times New Roman"/>
                <w:color w:val="auto"/>
                <w:lang w:val="en-US" w:eastAsia="zh-CN"/>
              </w:rPr>
              <w:t>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4024" w:type="dxa"/>
            <w:noWrap w:val="0"/>
            <w:vAlign w:val="center"/>
          </w:tcPr>
          <w:p>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auto"/>
              </w:rPr>
              <w:t>审核组成员差旅费</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交通费、食宿费用</w:t>
            </w:r>
            <w:r>
              <w:rPr>
                <w:rFonts w:hint="eastAsia" w:ascii="仿宋" w:hAnsi="仿宋" w:eastAsia="仿宋" w:cs="Times New Roman"/>
                <w:color w:val="auto"/>
                <w:lang w:eastAsia="zh-CN"/>
              </w:rPr>
              <w:t>）</w:t>
            </w:r>
          </w:p>
        </w:tc>
        <w:tc>
          <w:tcPr>
            <w:tcW w:w="5155" w:type="dxa"/>
            <w:noWrap w:val="0"/>
            <w:vAlign w:val="center"/>
          </w:tcPr>
          <w:p>
            <w:pPr>
              <w:jc w:val="left"/>
              <w:rPr>
                <w:rFonts w:hint="default" w:ascii="宋体" w:hAnsi="宋体" w:eastAsia="仿宋"/>
                <w:color w:val="auto"/>
                <w:sz w:val="24"/>
                <w:lang w:val="en-US" w:eastAsia="zh-CN"/>
              </w:rPr>
            </w:pPr>
            <w:r>
              <w:rPr>
                <w:rFonts w:hint="eastAsia" w:ascii="仿宋" w:hAnsi="仿宋" w:eastAsia="仿宋" w:cs="Times New Roman"/>
                <w:color w:val="auto"/>
                <w:lang w:val="en-US" w:eastAsia="zh-CN"/>
              </w:rPr>
              <w:t>按照乙方审核组成员实际产生的合理费用</w:t>
            </w:r>
            <w:r>
              <w:rPr>
                <w:rFonts w:hint="eastAsia" w:ascii="仿宋" w:hAnsi="仿宋" w:eastAsia="仿宋" w:cs="Times New Roman"/>
                <w:color w:val="auto"/>
              </w:rPr>
              <w:t>实报实销</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不含在上述费用中。</w:t>
            </w:r>
          </w:p>
        </w:tc>
      </w:tr>
    </w:tbl>
    <w:p>
      <w:pPr>
        <w:snapToGrid w:val="0"/>
        <w:spacing w:line="400" w:lineRule="exact"/>
        <w:jc w:val="left"/>
        <w:rPr>
          <w:rFonts w:hint="eastAsia" w:ascii="仿宋" w:hAnsi="仿宋" w:eastAsia="仿宋" w:cs="Times New Roman"/>
          <w:b w:val="0"/>
          <w:bCs w:val="0"/>
          <w:color w:val="auto"/>
          <w:lang w:val="en-US" w:eastAsia="zh-CN"/>
        </w:rPr>
      </w:pPr>
    </w:p>
    <w:p>
      <w:pPr>
        <w:snapToGrid w:val="0"/>
        <w:spacing w:line="400" w:lineRule="exact"/>
        <w:jc w:val="left"/>
        <w:rPr>
          <w:rFonts w:hint="eastAsia" w:ascii="仿宋" w:hAnsi="仿宋" w:eastAsia="仿宋" w:cs="Times New Roman"/>
          <w:color w:val="auto"/>
        </w:rPr>
      </w:pP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w:t>
      </w:r>
      <w:r>
        <w:rPr>
          <w:rFonts w:hint="eastAsia" w:ascii="仿宋" w:hAnsi="仿宋" w:eastAsia="仿宋" w:cs="Times New Roman"/>
          <w:b/>
          <w:bCs/>
          <w:color w:val="auto"/>
          <w:lang w:val="en-US" w:eastAsia="zh-CN"/>
        </w:rPr>
        <w:t>1</w:t>
      </w:r>
      <w:r>
        <w:rPr>
          <w:rFonts w:hint="eastAsia" w:ascii="仿宋" w:hAnsi="仿宋" w:eastAsia="仿宋" w:cs="Times New Roman"/>
          <w:b/>
          <w:bCs/>
          <w:color w:val="auto"/>
        </w:rPr>
        <w:t xml:space="preserve"> 初审费用付款方式</w:t>
      </w:r>
      <w:r>
        <w:rPr>
          <w:rFonts w:hint="eastAsia" w:ascii="仿宋" w:hAnsi="仿宋" w:eastAsia="仿宋" w:cs="Times New Roman"/>
          <w:b w:val="0"/>
          <w:bCs w:val="0"/>
          <w:color w:val="auto"/>
        </w:rPr>
        <w:t>：</w:t>
      </w:r>
    </w:p>
    <w:p>
      <w:pPr>
        <w:snapToGrid w:val="0"/>
        <w:spacing w:line="400" w:lineRule="exact"/>
        <w:jc w:val="left"/>
        <w:rPr>
          <w:rFonts w:hint="eastAsia" w:ascii="仿宋" w:hAnsi="仿宋" w:eastAsia="仿宋" w:cs="Times New Roman"/>
          <w:color w:val="auto"/>
        </w:rPr>
      </w:pPr>
      <w:r>
        <w:rPr>
          <w:rFonts w:hint="eastAsia" w:ascii="仿宋" w:hAnsi="仿宋" w:eastAsia="仿宋" w:cs="Times New Roman"/>
          <w:color w:val="auto"/>
          <w:u w:val="single"/>
        </w:rPr>
        <w:t>初审费用</w:t>
      </w:r>
      <w:r>
        <w:rPr>
          <w:rFonts w:hint="eastAsia" w:ascii="仿宋" w:hAnsi="仿宋" w:eastAsia="仿宋" w:cs="Times New Roman"/>
          <w:color w:val="auto"/>
        </w:rPr>
        <w:t>：</w:t>
      </w:r>
      <w:r>
        <w:rPr>
          <w:rFonts w:hint="eastAsia" w:ascii="仿宋" w:hAnsi="仿宋" w:eastAsia="仿宋" w:cs="Times New Roman"/>
          <w:color w:val="auto"/>
        </w:rPr>
        <w:br w:type="textWrapping"/>
      </w:r>
      <w:r>
        <w:rPr>
          <w:rFonts w:hint="eastAsia" w:ascii="仿宋" w:hAnsi="仿宋" w:eastAsia="仿宋" w:cs="Times New Roman"/>
          <w:color w:val="auto"/>
        </w:rPr>
        <w:t>该费用应于</w:t>
      </w:r>
      <w:r>
        <w:rPr>
          <w:rFonts w:hint="eastAsia" w:ascii="仿宋" w:hAnsi="仿宋" w:eastAsia="仿宋" w:cs="Times New Roman"/>
          <w:color w:val="auto"/>
          <w:lang w:val="en-US" w:eastAsia="zh-CN"/>
        </w:rPr>
        <w:t>本</w:t>
      </w:r>
      <w:r>
        <w:rPr>
          <w:rFonts w:hint="eastAsia" w:ascii="仿宋" w:hAnsi="仿宋" w:eastAsia="仿宋" w:cs="Times New Roman"/>
          <w:color w:val="auto"/>
        </w:rPr>
        <w:t>合同签订一周内支付合同金额50%，其余款项应于现场审核结束一周内付清。由于现场审核未通过而导致产生的额外审核费用由甲方承担，且在乙方下次实施现场审核前一周内一次性支付。</w:t>
      </w:r>
    </w:p>
    <w:p>
      <w:pPr>
        <w:snapToGrid w:val="0"/>
        <w:spacing w:line="400" w:lineRule="exact"/>
        <w:jc w:val="left"/>
        <w:rPr>
          <w:rFonts w:hint="eastAsia" w:ascii="仿宋" w:hAnsi="仿宋" w:eastAsia="仿宋" w:cs="Times New Roman"/>
          <w:color w:val="auto"/>
        </w:rPr>
      </w:pPr>
      <w:r>
        <w:rPr>
          <w:rFonts w:hint="eastAsia" w:ascii="仿宋" w:hAnsi="仿宋" w:eastAsia="仿宋" w:cs="Times New Roman"/>
          <w:b/>
          <w:bCs/>
          <w:color w:val="auto"/>
          <w:lang w:val="en-US" w:eastAsia="zh-CN"/>
        </w:rPr>
        <w:br w:type="textWrapping"/>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w:t>
      </w:r>
      <w:r>
        <w:rPr>
          <w:rFonts w:hint="eastAsia" w:ascii="仿宋" w:hAnsi="仿宋" w:eastAsia="仿宋" w:cs="Times New Roman"/>
          <w:b/>
          <w:bCs/>
          <w:color w:val="auto"/>
          <w:lang w:val="en-US" w:eastAsia="zh-CN"/>
        </w:rPr>
        <w:t>2</w:t>
      </w:r>
      <w:r>
        <w:rPr>
          <w:rFonts w:hint="eastAsia" w:ascii="仿宋" w:hAnsi="仿宋" w:eastAsia="仿宋" w:cs="Times New Roman"/>
          <w:b/>
          <w:bCs/>
          <w:color w:val="auto"/>
        </w:rPr>
        <w:t xml:space="preserve"> 监督/再认证费用付款方式</w:t>
      </w:r>
      <w:r>
        <w:rPr>
          <w:rFonts w:hint="eastAsia" w:ascii="仿宋" w:hAnsi="仿宋" w:eastAsia="仿宋" w:cs="Times New Roman"/>
          <w:b w:val="0"/>
          <w:bCs w:val="0"/>
          <w:color w:val="auto"/>
        </w:rPr>
        <w:t>：</w:t>
      </w:r>
    </w:p>
    <w:p>
      <w:pPr>
        <w:snapToGrid w:val="0"/>
        <w:spacing w:line="400" w:lineRule="exact"/>
        <w:jc w:val="left"/>
        <w:rPr>
          <w:rFonts w:hint="eastAsia" w:ascii="仿宋" w:hAnsi="仿宋" w:eastAsia="仿宋" w:cs="Times New Roman"/>
          <w:color w:val="auto"/>
        </w:rPr>
      </w:pPr>
      <w:r>
        <w:rPr>
          <w:rFonts w:hint="eastAsia" w:ascii="仿宋" w:hAnsi="仿宋" w:eastAsia="仿宋" w:cs="Times New Roman"/>
          <w:color w:val="auto"/>
          <w:u w:val="single"/>
        </w:rPr>
        <w:t>监督/再认证费用</w:t>
      </w:r>
      <w:r>
        <w:rPr>
          <w:rFonts w:hint="eastAsia" w:ascii="仿宋" w:hAnsi="仿宋" w:eastAsia="仿宋" w:cs="Times New Roman"/>
          <w:color w:val="auto"/>
        </w:rPr>
        <w:t>：</w:t>
      </w:r>
    </w:p>
    <w:p>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auto"/>
        </w:rPr>
        <w:t>甲方应在监督/再认证审核前向乙方支付监督/再认证费用，乙方按本合同</w:t>
      </w:r>
      <w:r>
        <w:rPr>
          <w:rFonts w:hint="eastAsia" w:ascii="仿宋" w:hAnsi="仿宋" w:eastAsia="仿宋" w:cs="Times New Roman"/>
          <w:color w:val="auto"/>
          <w:lang w:eastAsia="zh-CN"/>
        </w:rPr>
        <w:t>（</w:t>
      </w:r>
      <w:r>
        <w:rPr>
          <w:rFonts w:ascii="仿宋" w:hAnsi="仿宋" w:eastAsia="仿宋"/>
          <w:color w:val="auto"/>
        </w:rPr>
        <w:t>第</w:t>
      </w:r>
      <w:r>
        <w:rPr>
          <w:rFonts w:hint="eastAsia" w:ascii="仿宋" w:hAnsi="仿宋" w:eastAsia="仿宋"/>
          <w:color w:val="auto"/>
          <w:lang w:val="en-US" w:eastAsia="zh-CN"/>
        </w:rPr>
        <w:t>四</w:t>
      </w:r>
      <w:r>
        <w:rPr>
          <w:rFonts w:ascii="仿宋" w:hAnsi="仿宋" w:eastAsia="仿宋"/>
          <w:color w:val="auto"/>
        </w:rPr>
        <w:t xml:space="preserve">条 </w:t>
      </w:r>
      <w:r>
        <w:rPr>
          <w:rFonts w:hint="eastAsia" w:ascii="仿宋" w:hAnsi="仿宋" w:eastAsia="仿宋"/>
          <w:color w:val="auto"/>
        </w:rPr>
        <w:t>认</w:t>
      </w:r>
      <w:r>
        <w:rPr>
          <w:rFonts w:ascii="仿宋" w:hAnsi="仿宋" w:eastAsia="仿宋"/>
          <w:color w:val="auto"/>
        </w:rPr>
        <w:t>证费用及支付方式</w:t>
      </w:r>
      <w:r>
        <w:rPr>
          <w:rFonts w:hint="eastAsia" w:ascii="仿宋" w:hAnsi="仿宋" w:eastAsia="仿宋"/>
          <w:color w:val="auto"/>
          <w:lang w:val="en-US" w:eastAsia="zh-CN"/>
        </w:rPr>
        <w:t xml:space="preserve"> 及其它补充协议</w:t>
      </w:r>
      <w:r>
        <w:rPr>
          <w:rFonts w:hint="eastAsia" w:ascii="仿宋" w:hAnsi="仿宋" w:eastAsia="仿宋" w:cs="Times New Roman"/>
          <w:color w:val="auto"/>
          <w:lang w:eastAsia="zh-CN"/>
        </w:rPr>
        <w:t>）</w:t>
      </w:r>
      <w:r>
        <w:rPr>
          <w:rFonts w:hint="eastAsia" w:ascii="仿宋" w:hAnsi="仿宋" w:eastAsia="仿宋" w:cs="Times New Roman"/>
          <w:color w:val="auto"/>
        </w:rPr>
        <w:t>有关监督/再认证总费用金额发出付费通知单，甲方应在收到付费通知单后5个工作日内付款。由于现场审核未通过而导致产生的额外审核费用由甲方承担，且在乙方下次实施现场审核前一周内一次性支付。</w:t>
      </w:r>
    </w:p>
    <w:p>
      <w:pPr>
        <w:pStyle w:val="2"/>
        <w:rPr>
          <w:rFonts w:hint="eastAsia" w:ascii="仿宋" w:hAnsi="仿宋" w:eastAsia="仿宋" w:cs="Times New Roman"/>
          <w:color w:val="auto"/>
          <w:lang w:eastAsia="zh-CN"/>
        </w:rPr>
      </w:pPr>
    </w:p>
    <w:p>
      <w:pPr>
        <w:snapToGrid w:val="0"/>
        <w:spacing w:line="400" w:lineRule="exact"/>
        <w:jc w:val="left"/>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w:t>
      </w:r>
      <w:r>
        <w:rPr>
          <w:rFonts w:hint="eastAsia" w:ascii="仿宋" w:hAnsi="仿宋" w:eastAsia="仿宋" w:cs="Times New Roman"/>
          <w:color w:val="auto"/>
          <w:lang w:val="en-US" w:eastAsia="zh-CN"/>
        </w:rPr>
        <w:t>3</w:t>
      </w:r>
      <w:r>
        <w:rPr>
          <w:rFonts w:hint="eastAsia" w:ascii="仿宋" w:hAnsi="仿宋" w:eastAsia="仿宋" w:cs="Times New Roman"/>
          <w:color w:val="auto"/>
        </w:rPr>
        <w:t xml:space="preserve"> 如果甲方获证之后管理体系发生变更（包括但不限于企业名称、地址、规模、管理体系覆盖的范围或人数的扩大和缩小等），实际费用会适当增减，具体金额按实际状况重新核算。</w:t>
      </w:r>
    </w:p>
    <w:p>
      <w:pPr>
        <w:snapToGrid w:val="0"/>
        <w:spacing w:line="400" w:lineRule="exact"/>
        <w:jc w:val="left"/>
        <w:rPr>
          <w:rFonts w:hint="eastAsia" w:ascii="仿宋" w:hAnsi="仿宋" w:eastAsia="仿宋"/>
          <w:color w:val="auto"/>
        </w:rPr>
      </w:pPr>
    </w:p>
    <w:p>
      <w:pPr>
        <w:numPr>
          <w:ilvl w:val="0"/>
          <w:numId w:val="0"/>
        </w:numPr>
        <w:spacing w:before="120" w:beforeLines="0" w:after="120" w:afterLines="0" w:line="360" w:lineRule="exact"/>
        <w:rPr>
          <w:rFonts w:hint="eastAsia" w:ascii="仿宋" w:hAnsi="仿宋" w:eastAsia="仿宋"/>
          <w:color w:val="auto"/>
        </w:rPr>
      </w:pPr>
      <w:r>
        <w:rPr>
          <w:rFonts w:hint="eastAsia" w:ascii="仿宋" w:hAnsi="仿宋" w:eastAsia="仿宋"/>
          <w:color w:val="auto"/>
        </w:rPr>
        <w:t>在</w:t>
      </w:r>
      <w:r>
        <w:rPr>
          <w:rFonts w:hint="eastAsia" w:ascii="仿宋" w:hAnsi="仿宋" w:eastAsia="仿宋"/>
          <w:color w:val="auto"/>
          <w:lang w:val="en-US" w:eastAsia="zh-CN"/>
        </w:rPr>
        <w:t>现场认证审核且</w:t>
      </w:r>
      <w:r>
        <w:rPr>
          <w:rFonts w:hint="eastAsia" w:ascii="仿宋" w:hAnsi="仿宋" w:eastAsia="仿宋"/>
          <w:color w:val="auto"/>
        </w:rPr>
        <w:t>认证审核报告生效后10个工作日，如</w:t>
      </w:r>
      <w:r>
        <w:rPr>
          <w:rFonts w:hint="eastAsia" w:ascii="仿宋" w:hAnsi="仿宋" w:eastAsia="仿宋"/>
          <w:color w:val="auto"/>
          <w:lang w:val="en-US" w:eastAsia="zh-CN"/>
        </w:rPr>
        <w:t>甲方</w:t>
      </w:r>
      <w:r>
        <w:rPr>
          <w:rFonts w:hint="eastAsia" w:ascii="仿宋" w:hAnsi="仿宋" w:eastAsia="仿宋"/>
          <w:color w:val="auto"/>
        </w:rPr>
        <w:t>未向乙方付清认证审核费用，乙方有权向甲方收取</w:t>
      </w:r>
      <w:r>
        <w:rPr>
          <w:rFonts w:hint="eastAsia" w:ascii="仿宋" w:hAnsi="仿宋" w:eastAsia="仿宋"/>
          <w:color w:val="auto"/>
          <w:lang w:val="en-US" w:eastAsia="zh-CN"/>
        </w:rPr>
        <w:t>每日</w:t>
      </w:r>
      <w:r>
        <w:rPr>
          <w:rFonts w:hint="eastAsia" w:ascii="仿宋" w:hAnsi="仿宋" w:eastAsia="仿宋"/>
          <w:color w:val="auto"/>
        </w:rPr>
        <w:t>应付未付款项数额千分之五的违约金，同时乙方有权扣发认证证书或停止甲方使用认证证书。</w:t>
      </w:r>
      <w:r>
        <w:rPr>
          <w:rFonts w:hint="eastAsia" w:ascii="仿宋" w:hAnsi="仿宋" w:eastAsia="仿宋"/>
          <w:color w:val="auto"/>
          <w:lang w:val="en-US" w:eastAsia="zh-CN"/>
        </w:rPr>
        <w:t>如因甲方违约拒付审核费用而产生合同纠纷诉讼，乙方有权要求甲方支付除违约金之外的因诉讼引起的经济损失（律师费、交通差旅费、误工费等）</w:t>
      </w:r>
      <w:r>
        <w:rPr>
          <w:rFonts w:hint="eastAsia" w:ascii="仿宋" w:hAnsi="仿宋" w:eastAsia="仿宋"/>
          <w:color w:val="auto"/>
          <w:lang w:eastAsia="zh-CN"/>
        </w:rPr>
        <w:t>，</w:t>
      </w:r>
      <w:r>
        <w:rPr>
          <w:rFonts w:hint="eastAsia" w:ascii="仿宋" w:hAnsi="仿宋" w:eastAsia="仿宋"/>
          <w:color w:val="auto"/>
          <w:lang w:val="en-US" w:eastAsia="zh-CN"/>
        </w:rPr>
        <w:t>本合同诉讼地为乙方所在地。</w:t>
      </w:r>
    </w:p>
    <w:p>
      <w:pPr>
        <w:pStyle w:val="2"/>
        <w:rPr>
          <w:rFonts w:hint="eastAsia"/>
          <w:color w:val="auto"/>
        </w:rPr>
      </w:pPr>
    </w:p>
    <w:p>
      <w:pPr>
        <w:adjustRightInd w:val="0"/>
        <w:snapToGrid w:val="0"/>
        <w:spacing w:line="420" w:lineRule="exact"/>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五</w:t>
      </w:r>
      <w:r>
        <w:rPr>
          <w:rFonts w:hint="eastAsia" w:ascii="仿宋" w:hAnsi="仿宋" w:eastAsia="仿宋"/>
          <w:color w:val="auto"/>
        </w:rPr>
        <w:t xml:space="preserve">条 </w:t>
      </w:r>
      <w:r>
        <w:rPr>
          <w:rFonts w:ascii="仿宋" w:hAnsi="仿宋" w:eastAsia="仿宋"/>
          <w:color w:val="auto"/>
        </w:rPr>
        <w:t>甲方责任和权利</w:t>
      </w:r>
    </w:p>
    <w:p>
      <w:pPr>
        <w:adjustRightInd w:val="0"/>
        <w:snapToGrid w:val="0"/>
        <w:spacing w:line="420" w:lineRule="exact"/>
        <w:ind w:firstLine="840" w:firstLineChars="400"/>
        <w:jc w:val="left"/>
        <w:rPr>
          <w:rFonts w:ascii="仿宋" w:hAnsi="仿宋" w:eastAsia="仿宋"/>
          <w:color w:val="auto"/>
        </w:rPr>
      </w:pPr>
      <w:r>
        <w:rPr>
          <w:rFonts w:hint="eastAsia" w:ascii="仿宋" w:hAnsi="仿宋" w:eastAsia="仿宋"/>
          <w:color w:val="auto"/>
        </w:rPr>
        <w:t>1、</w:t>
      </w:r>
      <w:r>
        <w:rPr>
          <w:rFonts w:ascii="仿宋" w:hAnsi="仿宋" w:eastAsia="仿宋"/>
          <w:color w:val="auto"/>
        </w:rPr>
        <w:t>始终遵守认证的有关规定；</w:t>
      </w:r>
    </w:p>
    <w:p>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2</w:t>
      </w:r>
      <w:r>
        <w:rPr>
          <w:rFonts w:hint="eastAsia" w:ascii="仿宋" w:hAnsi="仿宋" w:eastAsia="仿宋"/>
          <w:color w:val="auto"/>
        </w:rPr>
        <w:t>、</w:t>
      </w:r>
      <w:r>
        <w:rPr>
          <w:rFonts w:ascii="仿宋" w:hAnsi="仿宋" w:eastAsia="仿宋"/>
          <w:color w:val="auto"/>
        </w:rPr>
        <w:t>建立并充分运行相应的体系；</w:t>
      </w:r>
    </w:p>
    <w:p>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3</w:t>
      </w:r>
      <w:r>
        <w:rPr>
          <w:rFonts w:hint="eastAsia" w:ascii="仿宋" w:hAnsi="仿宋" w:eastAsia="仿宋"/>
          <w:color w:val="auto"/>
        </w:rPr>
        <w:t>、</w:t>
      </w:r>
      <w:r>
        <w:rPr>
          <w:rFonts w:hint="eastAsia" w:ascii="仿宋" w:hAnsi="仿宋" w:eastAsia="仿宋"/>
          <w:color w:val="auto"/>
          <w:lang w:val="en-US" w:eastAsia="zh-CN"/>
        </w:rPr>
        <w:t>相关</w:t>
      </w:r>
      <w:r>
        <w:rPr>
          <w:rFonts w:ascii="仿宋" w:hAnsi="仿宋" w:eastAsia="仿宋"/>
          <w:color w:val="auto"/>
        </w:rPr>
        <w:t>体系正式运行</w:t>
      </w:r>
      <w:r>
        <w:rPr>
          <w:rFonts w:hint="eastAsia" w:ascii="仿宋" w:hAnsi="仿宋" w:eastAsia="仿宋"/>
          <w:color w:val="auto"/>
          <w:lang w:val="en-US" w:eastAsia="zh-CN"/>
        </w:rPr>
        <w:t>符合时间要求</w:t>
      </w:r>
      <w:r>
        <w:rPr>
          <w:rFonts w:ascii="仿宋" w:hAnsi="仿宋" w:eastAsia="仿宋"/>
          <w:color w:val="auto"/>
        </w:rPr>
        <w:t>后，并完成了内审和管理评审方可实施正式审核；</w:t>
      </w:r>
    </w:p>
    <w:p>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4</w:t>
      </w:r>
      <w:r>
        <w:rPr>
          <w:rFonts w:hint="eastAsia" w:ascii="仿宋" w:hAnsi="仿宋" w:eastAsia="仿宋"/>
          <w:color w:val="auto"/>
        </w:rPr>
        <w:t>、</w:t>
      </w:r>
      <w:r>
        <w:rPr>
          <w:rFonts w:ascii="仿宋" w:hAnsi="仿宋" w:eastAsia="仿宋"/>
          <w:color w:val="auto"/>
        </w:rPr>
        <w:t>按乙方要求提供相关管理体系文件及其他相关资料；</w:t>
      </w:r>
    </w:p>
    <w:p>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5</w:t>
      </w:r>
      <w:r>
        <w:rPr>
          <w:rFonts w:hint="eastAsia" w:ascii="仿宋" w:hAnsi="仿宋" w:eastAsia="仿宋"/>
          <w:color w:val="auto"/>
        </w:rPr>
        <w:t>、</w:t>
      </w:r>
      <w:r>
        <w:rPr>
          <w:rFonts w:ascii="仿宋" w:hAnsi="仿宋" w:eastAsia="仿宋"/>
          <w:color w:val="auto"/>
        </w:rPr>
        <w:t>按合同的约定及</w:t>
      </w:r>
      <w:r>
        <w:rPr>
          <w:rFonts w:hint="eastAsia" w:ascii="仿宋" w:hAnsi="仿宋" w:eastAsia="仿宋"/>
          <w:color w:val="auto"/>
          <w:lang w:val="en-US" w:eastAsia="zh-CN"/>
        </w:rPr>
        <w:t>时</w:t>
      </w:r>
      <w:r>
        <w:rPr>
          <w:rFonts w:ascii="仿宋" w:hAnsi="仿宋" w:eastAsia="仿宋"/>
          <w:color w:val="auto"/>
        </w:rPr>
        <w:t>向乙方支付费用；</w:t>
      </w:r>
    </w:p>
    <w:p>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6</w:t>
      </w:r>
      <w:r>
        <w:rPr>
          <w:rFonts w:hint="eastAsia" w:ascii="仿宋" w:hAnsi="仿宋" w:eastAsia="仿宋"/>
          <w:color w:val="auto"/>
        </w:rPr>
        <w:t>、</w:t>
      </w:r>
      <w:r>
        <w:rPr>
          <w:rFonts w:ascii="仿宋" w:hAnsi="仿宋" w:eastAsia="仿宋"/>
          <w:color w:val="auto"/>
        </w:rPr>
        <w:t>为实施审核做出所有必要的安排，包括检查文件；接触的所有过程、区域、记录及人员提供</w:t>
      </w:r>
    </w:p>
    <w:p>
      <w:pPr>
        <w:adjustRightInd w:val="0"/>
        <w:snapToGrid w:val="0"/>
        <w:spacing w:line="420" w:lineRule="exact"/>
        <w:ind w:firstLine="1155" w:firstLineChars="550"/>
        <w:jc w:val="left"/>
        <w:rPr>
          <w:rFonts w:ascii="仿宋" w:hAnsi="仿宋" w:eastAsia="仿宋"/>
          <w:color w:val="auto"/>
        </w:rPr>
      </w:pPr>
      <w:r>
        <w:rPr>
          <w:rFonts w:ascii="仿宋" w:hAnsi="仿宋" w:eastAsia="仿宋"/>
          <w:color w:val="auto"/>
        </w:rPr>
        <w:t>条件。适用时，为接纳到场的观察员、认可评审员等提供条件。</w:t>
      </w:r>
    </w:p>
    <w:p>
      <w:pPr>
        <w:adjustRightInd w:val="0"/>
        <w:snapToGrid w:val="0"/>
        <w:spacing w:line="420" w:lineRule="exact"/>
        <w:ind w:firstLine="840" w:firstLineChars="400"/>
        <w:jc w:val="left"/>
        <w:rPr>
          <w:rFonts w:ascii="仿宋" w:hAnsi="仿宋" w:eastAsia="仿宋"/>
          <w:color w:val="auto"/>
        </w:rPr>
      </w:pPr>
      <w:r>
        <w:rPr>
          <w:rFonts w:hint="eastAsia" w:ascii="仿宋" w:hAnsi="仿宋" w:eastAsia="仿宋"/>
          <w:color w:val="auto"/>
        </w:rPr>
        <w:t>7、</w:t>
      </w:r>
      <w:r>
        <w:rPr>
          <w:rFonts w:ascii="仿宋" w:hAnsi="仿宋" w:eastAsia="仿宋"/>
          <w:color w:val="auto"/>
        </w:rPr>
        <w:t>在调查投诉、事故、变更认证、对暂停认证进行追踪等特殊情况下应接受乙方开展的现场审</w:t>
      </w:r>
    </w:p>
    <w:p>
      <w:pPr>
        <w:adjustRightInd w:val="0"/>
        <w:snapToGrid w:val="0"/>
        <w:spacing w:line="420" w:lineRule="exact"/>
        <w:ind w:firstLine="1155" w:firstLineChars="550"/>
        <w:jc w:val="left"/>
        <w:rPr>
          <w:rFonts w:ascii="仿宋" w:hAnsi="仿宋" w:eastAsia="仿宋"/>
          <w:color w:val="auto"/>
        </w:rPr>
      </w:pPr>
      <w:r>
        <w:rPr>
          <w:rFonts w:ascii="仿宋" w:hAnsi="仿宋" w:eastAsia="仿宋"/>
          <w:color w:val="auto"/>
        </w:rPr>
        <w:t>核。</w:t>
      </w:r>
    </w:p>
    <w:p>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8</w:t>
      </w:r>
      <w:r>
        <w:rPr>
          <w:rFonts w:hint="eastAsia" w:ascii="仿宋" w:hAnsi="仿宋" w:eastAsia="仿宋"/>
          <w:color w:val="auto"/>
        </w:rPr>
        <w:t>、</w:t>
      </w:r>
      <w:r>
        <w:rPr>
          <w:rFonts w:ascii="仿宋" w:hAnsi="仿宋" w:eastAsia="仿宋"/>
          <w:color w:val="auto"/>
        </w:rPr>
        <w:t>当管理体系标准或法律法规有要求时，应接受认可机构、国家认证监管部门开展的见证审核、</w:t>
      </w:r>
    </w:p>
    <w:p>
      <w:pPr>
        <w:adjustRightInd w:val="0"/>
        <w:snapToGrid w:val="0"/>
        <w:spacing w:line="420" w:lineRule="exact"/>
        <w:ind w:firstLine="1050" w:firstLineChars="500"/>
        <w:jc w:val="left"/>
        <w:rPr>
          <w:rFonts w:ascii="仿宋" w:hAnsi="仿宋" w:eastAsia="仿宋"/>
          <w:color w:val="auto"/>
        </w:rPr>
      </w:pPr>
      <w:r>
        <w:rPr>
          <w:rFonts w:ascii="仿宋" w:hAnsi="仿宋" w:eastAsia="仿宋"/>
          <w:color w:val="auto"/>
        </w:rPr>
        <w:t xml:space="preserve">专项检查、确认审核等，向特定机构提交信息和报告； </w:t>
      </w:r>
    </w:p>
    <w:p>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9</w:t>
      </w:r>
      <w:r>
        <w:rPr>
          <w:rFonts w:hint="eastAsia" w:ascii="仿宋" w:hAnsi="仿宋" w:eastAsia="仿宋"/>
          <w:color w:val="auto"/>
        </w:rPr>
        <w:t>、</w:t>
      </w:r>
      <w:r>
        <w:rPr>
          <w:rFonts w:ascii="仿宋" w:hAnsi="仿宋" w:eastAsia="仿宋"/>
          <w:color w:val="auto"/>
        </w:rPr>
        <w:t>向乙方提供真实充分的信息和记录；</w:t>
      </w:r>
    </w:p>
    <w:p>
      <w:pPr>
        <w:adjustRightInd w:val="0"/>
        <w:snapToGrid w:val="0"/>
        <w:spacing w:line="420" w:lineRule="exact"/>
        <w:jc w:val="left"/>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10</w:t>
      </w:r>
      <w:r>
        <w:rPr>
          <w:rFonts w:hint="eastAsia" w:ascii="仿宋" w:hAnsi="仿宋" w:eastAsia="仿宋"/>
          <w:color w:val="auto"/>
        </w:rPr>
        <w:t>、</w:t>
      </w:r>
      <w:r>
        <w:rPr>
          <w:rFonts w:ascii="仿宋" w:hAnsi="仿宋" w:eastAsia="仿宋"/>
          <w:color w:val="auto"/>
        </w:rPr>
        <w:t>正确使用认证证书和认证标志；</w:t>
      </w:r>
    </w:p>
    <w:p>
      <w:pPr>
        <w:adjustRightInd w:val="0"/>
        <w:snapToGrid w:val="0"/>
        <w:spacing w:line="420" w:lineRule="exact"/>
        <w:jc w:val="left"/>
        <w:rPr>
          <w:rFonts w:ascii="仿宋" w:hAnsi="仿宋" w:eastAsia="仿宋"/>
          <w:color w:val="auto"/>
        </w:rPr>
      </w:pPr>
      <w:r>
        <w:rPr>
          <w:rFonts w:ascii="仿宋" w:hAnsi="仿宋" w:eastAsia="仿宋"/>
          <w:color w:val="auto"/>
        </w:rPr>
        <w:t xml:space="preserve">        11、宣传认证结果时不应损害乙方的声誉；</w:t>
      </w:r>
    </w:p>
    <w:p>
      <w:pPr>
        <w:adjustRightInd w:val="0"/>
        <w:snapToGrid w:val="0"/>
        <w:spacing w:line="420" w:lineRule="exact"/>
        <w:ind w:left="1260" w:hanging="1260" w:hangingChars="600"/>
        <w:jc w:val="left"/>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12、在乙方要求时，向乙方提供所有甲方收到有关投诉的记录和依据体系标准或其他规范性文件的要求所采取的纠正措施的记录。甲方在收到投诉时，应确定不符合产生的原因，包括管理体系中存在的任何潜在(倾向性的)因素，并在适当时通报乙方。乙方将视情况决定是否需对甲方实施临时审核。</w:t>
      </w:r>
    </w:p>
    <w:p>
      <w:pPr>
        <w:adjustRightInd w:val="0"/>
        <w:snapToGrid w:val="0"/>
        <w:spacing w:line="420" w:lineRule="exact"/>
        <w:ind w:left="1260" w:hanging="1260" w:hangingChars="600"/>
        <w:jc w:val="left"/>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13、在获证后维持体系持续有效运行。</w:t>
      </w:r>
      <w:r>
        <w:rPr>
          <w:rFonts w:hint="eastAsia" w:ascii="仿宋" w:hAnsi="仿宋" w:eastAsia="仿宋"/>
          <w:color w:val="auto"/>
        </w:rPr>
        <w:t>证书有效期为三年，</w:t>
      </w:r>
      <w:r>
        <w:rPr>
          <w:rFonts w:ascii="仿宋" w:hAnsi="仿宋" w:eastAsia="仿宋"/>
          <w:color w:val="auto"/>
        </w:rPr>
        <w:t>在证书有效期内，接受并配合乙方实施监督审核。</w:t>
      </w:r>
      <w:r>
        <w:rPr>
          <w:rFonts w:hint="eastAsia" w:ascii="仿宋" w:hAnsi="仿宋" w:eastAsia="仿宋"/>
          <w:color w:val="auto"/>
        </w:rPr>
        <w:t>监督审核</w:t>
      </w:r>
      <w:r>
        <w:rPr>
          <w:rFonts w:ascii="仿宋" w:hAnsi="仿宋" w:eastAsia="仿宋"/>
          <w:color w:val="auto"/>
        </w:rPr>
        <w:t>应至少每个日历年（应进行再认证的年份除外）进行一次。</w:t>
      </w:r>
      <w:r>
        <w:rPr>
          <w:rFonts w:hint="eastAsia" w:ascii="仿宋" w:hAnsi="仿宋" w:eastAsia="仿宋"/>
          <w:color w:val="auto"/>
        </w:rPr>
        <w:t>初次</w:t>
      </w:r>
      <w:r>
        <w:rPr>
          <w:rFonts w:ascii="仿宋" w:hAnsi="仿宋" w:eastAsia="仿宋"/>
          <w:color w:val="auto"/>
        </w:rPr>
        <w:t>认证后的第一次监督审核应在认证决定日期起12个月内进行。同时，甲方应按本合同条规定支付相应的监督审核费用。</w:t>
      </w:r>
    </w:p>
    <w:p>
      <w:pPr>
        <w:adjustRightInd w:val="0"/>
        <w:snapToGrid w:val="0"/>
        <w:spacing w:line="420" w:lineRule="exact"/>
        <w:ind w:left="1260" w:hanging="1260" w:hangingChars="600"/>
        <w:jc w:val="left"/>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14、根据法律法规、行业或自身要求，提出可公开信息的限制性要求。</w:t>
      </w:r>
    </w:p>
    <w:p>
      <w:pPr>
        <w:adjustRightInd w:val="0"/>
        <w:snapToGrid w:val="0"/>
        <w:spacing w:line="420" w:lineRule="exact"/>
        <w:ind w:left="1260" w:hanging="1260" w:hangingChars="600"/>
        <w:jc w:val="left"/>
        <w:rPr>
          <w:rFonts w:hint="default" w:ascii="仿宋" w:hAnsi="仿宋" w:eastAsia="仿宋"/>
          <w:color w:val="auto"/>
          <w:lang w:val="en-US" w:eastAsia="zh-CN"/>
        </w:rPr>
      </w:pPr>
      <w:r>
        <w:rPr>
          <w:rFonts w:hint="eastAsia" w:ascii="仿宋" w:hAnsi="仿宋" w:eastAsia="仿宋"/>
          <w:color w:val="auto"/>
        </w:rPr>
        <w:t xml:space="preserve">        </w:t>
      </w:r>
      <w:r>
        <w:rPr>
          <w:rFonts w:ascii="仿宋" w:hAnsi="仿宋" w:eastAsia="仿宋"/>
          <w:color w:val="auto"/>
        </w:rPr>
        <w:t>15、若认证证书被乙方撤销，应将原证书及副本</w:t>
      </w:r>
      <w:r>
        <w:rPr>
          <w:rFonts w:ascii="仿宋" w:hAnsi="仿宋" w:eastAsia="仿宋"/>
          <w:color w:val="auto"/>
        </w:rPr>
        <w:t>交回乙方</w:t>
      </w:r>
      <w:r>
        <w:rPr>
          <w:rFonts w:hint="eastAsia" w:ascii="仿宋" w:hAnsi="仿宋" w:eastAsia="仿宋"/>
          <w:color w:val="auto"/>
          <w:lang w:val="en-US" w:eastAsia="zh-CN"/>
        </w:rPr>
        <w:t>并停止一切通过甲方认证审核的相关宣传。</w:t>
      </w:r>
    </w:p>
    <w:p>
      <w:pPr>
        <w:snapToGrid w:val="0"/>
        <w:spacing w:line="420" w:lineRule="exact"/>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六</w:t>
      </w:r>
      <w:r>
        <w:rPr>
          <w:rFonts w:hint="eastAsia" w:ascii="仿宋" w:hAnsi="仿宋" w:eastAsia="仿宋"/>
          <w:color w:val="auto"/>
        </w:rPr>
        <w:t xml:space="preserve">条 </w:t>
      </w:r>
      <w:r>
        <w:rPr>
          <w:rFonts w:ascii="仿宋" w:hAnsi="仿宋" w:eastAsia="仿宋"/>
          <w:color w:val="auto"/>
        </w:rPr>
        <w:t>乙方责任和权利</w:t>
      </w:r>
    </w:p>
    <w:p>
      <w:pPr>
        <w:snapToGrid w:val="0"/>
        <w:spacing w:line="420" w:lineRule="exact"/>
        <w:ind w:left="601" w:firstLine="210" w:firstLineChars="100"/>
        <w:jc w:val="left"/>
        <w:rPr>
          <w:rFonts w:ascii="仿宋" w:hAnsi="仿宋" w:eastAsia="仿宋"/>
          <w:color w:val="auto"/>
        </w:rPr>
      </w:pPr>
      <w:r>
        <w:rPr>
          <w:rFonts w:ascii="仿宋" w:hAnsi="仿宋" w:eastAsia="仿宋"/>
          <w:color w:val="auto"/>
        </w:rPr>
        <w:t>1、严格遵守国家各种管理体系认证的法律法规，客观、公正地为甲方提供认证服务；</w:t>
      </w:r>
    </w:p>
    <w:p>
      <w:pPr>
        <w:snapToGrid w:val="0"/>
        <w:spacing w:line="420" w:lineRule="exact"/>
        <w:ind w:left="601" w:firstLine="210" w:firstLineChars="100"/>
        <w:jc w:val="left"/>
        <w:rPr>
          <w:rFonts w:ascii="仿宋" w:hAnsi="仿宋" w:eastAsia="仿宋"/>
          <w:color w:val="auto"/>
        </w:rPr>
      </w:pPr>
      <w:r>
        <w:rPr>
          <w:rFonts w:hint="eastAsia" w:ascii="仿宋" w:hAnsi="仿宋" w:eastAsia="仿宋"/>
          <w:color w:val="auto"/>
        </w:rPr>
        <w:t>2</w:t>
      </w:r>
      <w:r>
        <w:rPr>
          <w:rFonts w:ascii="仿宋" w:hAnsi="仿宋" w:eastAsia="仿宋"/>
          <w:color w:val="auto"/>
        </w:rPr>
        <w:t>、向甲方提供资格证明文件及有关公开性文件；</w:t>
      </w:r>
    </w:p>
    <w:p>
      <w:pPr>
        <w:snapToGrid w:val="0"/>
        <w:spacing w:line="420" w:lineRule="exact"/>
        <w:ind w:left="601" w:firstLine="210" w:firstLineChars="100"/>
        <w:jc w:val="left"/>
        <w:rPr>
          <w:rFonts w:ascii="仿宋" w:hAnsi="仿宋" w:eastAsia="仿宋"/>
          <w:color w:val="auto"/>
        </w:rPr>
      </w:pPr>
      <w:r>
        <w:rPr>
          <w:rFonts w:ascii="仿宋" w:hAnsi="仿宋" w:eastAsia="仿宋"/>
          <w:color w:val="auto"/>
        </w:rPr>
        <w:t>3、在签订合同后委派有资格人员组成审核组实施审核；</w:t>
      </w:r>
    </w:p>
    <w:p>
      <w:pPr>
        <w:snapToGrid w:val="0"/>
        <w:spacing w:line="420" w:lineRule="exact"/>
        <w:ind w:left="601" w:firstLine="210" w:firstLineChars="100"/>
        <w:jc w:val="left"/>
        <w:rPr>
          <w:rFonts w:ascii="仿宋" w:hAnsi="仿宋" w:eastAsia="仿宋"/>
          <w:color w:val="auto"/>
        </w:rPr>
      </w:pPr>
      <w:r>
        <w:rPr>
          <w:rFonts w:ascii="仿宋" w:hAnsi="仿宋" w:eastAsia="仿宋"/>
          <w:color w:val="auto"/>
        </w:rPr>
        <w:t>4、向甲方及时提交审核计划，按双方约定时间实施审核并出具审核报告；</w:t>
      </w:r>
    </w:p>
    <w:p>
      <w:pPr>
        <w:snapToGrid w:val="0"/>
        <w:spacing w:line="420" w:lineRule="exact"/>
        <w:ind w:left="1155" w:leftChars="400" w:hanging="315" w:hangingChars="150"/>
        <w:jc w:val="left"/>
        <w:rPr>
          <w:rFonts w:ascii="仿宋" w:hAnsi="仿宋" w:eastAsia="仿宋"/>
          <w:snapToGrid w:val="0"/>
          <w:color w:val="auto"/>
          <w:spacing w:val="-8"/>
          <w:kern w:val="0"/>
        </w:rPr>
      </w:pPr>
      <w:r>
        <w:rPr>
          <w:rFonts w:ascii="仿宋" w:hAnsi="仿宋" w:eastAsia="仿宋"/>
          <w:color w:val="auto"/>
        </w:rPr>
        <w:t>5、遵守公正性与保密声明</w:t>
      </w:r>
      <w:r>
        <w:rPr>
          <w:rFonts w:hint="eastAsia" w:ascii="仿宋" w:hAnsi="仿宋" w:eastAsia="仿宋"/>
          <w:color w:val="auto"/>
        </w:rPr>
        <w:t>。</w:t>
      </w:r>
      <w:r>
        <w:rPr>
          <w:rFonts w:ascii="仿宋" w:hAnsi="仿宋" w:eastAsia="仿宋"/>
          <w:snapToGrid w:val="0"/>
          <w:color w:val="auto"/>
          <w:spacing w:val="-8"/>
          <w:kern w:val="0"/>
        </w:rPr>
        <w:t>当向其他机构（如认可机构、IQnet）公开保密信息时，应通知甲方。</w:t>
      </w:r>
    </w:p>
    <w:p>
      <w:pPr>
        <w:snapToGrid w:val="0"/>
        <w:spacing w:line="420" w:lineRule="exact"/>
        <w:ind w:left="1155" w:leftChars="400" w:hanging="315" w:hangingChars="150"/>
        <w:jc w:val="left"/>
        <w:rPr>
          <w:rFonts w:ascii="仿宋" w:hAnsi="仿宋" w:eastAsia="仿宋"/>
          <w:color w:val="auto"/>
        </w:rPr>
      </w:pPr>
      <w:r>
        <w:rPr>
          <w:rFonts w:ascii="仿宋" w:hAnsi="仿宋" w:eastAsia="仿宋"/>
          <w:color w:val="auto"/>
        </w:rPr>
        <w:t>6、及时向甲方颁发认证证书并在媒体公布甲方名录；</w:t>
      </w:r>
    </w:p>
    <w:p>
      <w:pPr>
        <w:snapToGrid w:val="0"/>
        <w:spacing w:line="420" w:lineRule="exact"/>
        <w:ind w:left="1155" w:leftChars="400" w:hanging="315" w:hangingChars="150"/>
        <w:jc w:val="left"/>
        <w:rPr>
          <w:rFonts w:ascii="仿宋" w:hAnsi="仿宋" w:eastAsia="仿宋"/>
          <w:color w:val="auto"/>
        </w:rPr>
      </w:pPr>
      <w:r>
        <w:rPr>
          <w:rFonts w:ascii="仿宋" w:hAnsi="仿宋" w:eastAsia="仿宋"/>
          <w:color w:val="auto"/>
        </w:rPr>
        <w:t>7、甲方获证后定期对其体系实施监督审核和按期实施再认证换证审核；</w:t>
      </w:r>
    </w:p>
    <w:p>
      <w:pPr>
        <w:snapToGrid w:val="0"/>
        <w:spacing w:line="420" w:lineRule="exact"/>
        <w:ind w:left="1155" w:leftChars="400" w:hanging="315" w:hangingChars="150"/>
        <w:jc w:val="left"/>
        <w:rPr>
          <w:rFonts w:ascii="仿宋" w:hAnsi="仿宋" w:eastAsia="仿宋"/>
          <w:color w:val="auto"/>
        </w:rPr>
      </w:pPr>
      <w:r>
        <w:rPr>
          <w:rFonts w:ascii="仿宋" w:hAnsi="仿宋" w:eastAsia="仿宋"/>
          <w:color w:val="auto"/>
        </w:rPr>
        <w:t>8、当认证要求发生变更时应及时通知甲方，并验证甲方是否符合新的要求；</w:t>
      </w:r>
    </w:p>
    <w:p>
      <w:pPr>
        <w:snapToGrid w:val="0"/>
        <w:spacing w:line="420" w:lineRule="exact"/>
        <w:ind w:firstLine="840" w:firstLineChars="400"/>
        <w:jc w:val="left"/>
        <w:rPr>
          <w:rFonts w:ascii="仿宋" w:hAnsi="仿宋" w:eastAsia="仿宋"/>
          <w:color w:val="auto"/>
        </w:rPr>
      </w:pPr>
      <w:r>
        <w:rPr>
          <w:rFonts w:hint="eastAsia" w:ascii="仿宋" w:hAnsi="仿宋" w:eastAsia="仿宋"/>
          <w:color w:val="auto"/>
        </w:rPr>
        <w:t>9、</w:t>
      </w:r>
      <w:r>
        <w:rPr>
          <w:rFonts w:ascii="仿宋" w:hAnsi="仿宋" w:eastAsia="仿宋"/>
          <w:color w:val="auto"/>
        </w:rPr>
        <w:t>在法律法规许可的情况下满足甲方关于可公开信息的特殊要求；</w:t>
      </w:r>
    </w:p>
    <w:p>
      <w:pPr>
        <w:tabs>
          <w:tab w:val="left" w:pos="360"/>
        </w:tabs>
        <w:adjustRightInd w:val="0"/>
        <w:snapToGrid w:val="0"/>
        <w:spacing w:line="420" w:lineRule="exact"/>
        <w:ind w:left="735" w:hanging="735" w:hangingChars="350"/>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七</w:t>
      </w:r>
      <w:r>
        <w:rPr>
          <w:rFonts w:hint="eastAsia" w:ascii="仿宋" w:hAnsi="仿宋" w:eastAsia="仿宋"/>
          <w:color w:val="auto"/>
        </w:rPr>
        <w:t xml:space="preserve">条 </w:t>
      </w:r>
      <w:r>
        <w:rPr>
          <w:rFonts w:hint="eastAsia" w:ascii="仿宋" w:hAnsi="仿宋" w:eastAsia="仿宋"/>
          <w:color w:val="auto"/>
          <w:lang w:eastAsia="zh-CN"/>
        </w:rPr>
        <w:t>ZBCC</w:t>
      </w:r>
      <w:r>
        <w:rPr>
          <w:rFonts w:ascii="仿宋" w:hAnsi="仿宋" w:eastAsia="仿宋"/>
          <w:color w:val="auto"/>
        </w:rPr>
        <w:t>如在审核进程中发现足以导致不推荐注册的严重不符合时，乙方应向甲方通报理由,</w:t>
      </w:r>
      <w:r>
        <w:rPr>
          <w:rFonts w:hint="eastAsia" w:ascii="仿宋" w:hAnsi="仿宋" w:eastAsia="仿宋"/>
          <w:color w:val="auto"/>
        </w:rPr>
        <w:t>由双方协商</w:t>
      </w:r>
      <w:r>
        <w:rPr>
          <w:rFonts w:ascii="仿宋" w:hAnsi="仿宋" w:eastAsia="仿宋"/>
          <w:color w:val="auto"/>
        </w:rPr>
        <w:t>确定后续的处理措施（如重新修改审核计划，改变审核目的、审核范围或终止审核等），相关费用由甲方承担。</w:t>
      </w:r>
    </w:p>
    <w:p>
      <w:pPr>
        <w:widowControl/>
        <w:snapToGrid w:val="0"/>
        <w:spacing w:line="420" w:lineRule="exact"/>
        <w:ind w:left="735" w:hanging="735" w:hangingChars="350"/>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八</w:t>
      </w:r>
      <w:r>
        <w:rPr>
          <w:rFonts w:ascii="仿宋" w:hAnsi="仿宋" w:eastAsia="仿宋"/>
          <w:color w:val="auto"/>
        </w:rPr>
        <w:t>条</w:t>
      </w:r>
      <w:r>
        <w:rPr>
          <w:rFonts w:hint="eastAsia" w:ascii="仿宋" w:hAnsi="仿宋" w:eastAsia="仿宋"/>
          <w:color w:val="auto"/>
        </w:rPr>
        <w:t xml:space="preserve"> </w:t>
      </w:r>
      <w:r>
        <w:rPr>
          <w:rFonts w:hint="eastAsia" w:ascii="仿宋" w:hAnsi="仿宋" w:eastAsia="仿宋"/>
          <w:color w:val="auto"/>
          <w:lang w:eastAsia="zh-CN"/>
        </w:rPr>
        <w:t>ZBCC</w:t>
      </w:r>
      <w:r>
        <w:rPr>
          <w:rFonts w:ascii="仿宋" w:hAnsi="仿宋" w:eastAsia="仿宋"/>
          <w:color w:val="auto"/>
        </w:rPr>
        <w:t>在审核进行中</w:t>
      </w:r>
    </w:p>
    <w:p>
      <w:pPr>
        <w:widowControl/>
        <w:snapToGrid w:val="0"/>
        <w:spacing w:line="420" w:lineRule="exact"/>
        <w:ind w:left="1050" w:leftChars="300" w:hanging="420" w:hangingChars="200"/>
        <w:jc w:val="left"/>
        <w:rPr>
          <w:rFonts w:ascii="仿宋" w:hAnsi="仿宋" w:eastAsia="仿宋"/>
          <w:color w:val="auto"/>
        </w:rPr>
      </w:pPr>
      <w:r>
        <w:rPr>
          <w:rFonts w:ascii="仿宋" w:hAnsi="仿宋" w:eastAsia="仿宋"/>
          <w:color w:val="auto"/>
        </w:rPr>
        <w:t>1</w:t>
      </w:r>
      <w:r>
        <w:rPr>
          <w:rFonts w:hint="eastAsia" w:ascii="仿宋" w:hAnsi="仿宋" w:eastAsia="仿宋"/>
          <w:color w:val="auto"/>
        </w:rPr>
        <w:t>、</w:t>
      </w:r>
      <w:r>
        <w:rPr>
          <w:rFonts w:ascii="仿宋" w:hAnsi="仿宋" w:eastAsia="仿宋"/>
          <w:color w:val="auto"/>
        </w:rPr>
        <w:t>若发现客户甲方存在违反法律法规及其他要求的情况，</w:t>
      </w:r>
      <w:r>
        <w:rPr>
          <w:rFonts w:hint="eastAsia" w:ascii="仿宋" w:hAnsi="仿宋" w:eastAsia="仿宋"/>
          <w:color w:val="auto"/>
          <w:lang w:eastAsia="zh-CN"/>
        </w:rPr>
        <w:t>ZBCC</w:t>
      </w:r>
      <w:r>
        <w:rPr>
          <w:rFonts w:ascii="仿宋" w:hAnsi="仿宋" w:eastAsia="仿宋"/>
          <w:color w:val="auto"/>
        </w:rPr>
        <w:t>将判为严重不符合。严重不符合</w:t>
      </w:r>
      <w:r>
        <w:rPr>
          <w:rFonts w:ascii="仿宋" w:hAnsi="仿宋" w:eastAsia="仿宋"/>
          <w:color w:val="auto"/>
        </w:rPr>
        <w:br w:type="textWrapping"/>
      </w:r>
      <w:r>
        <w:rPr>
          <w:rFonts w:ascii="仿宋" w:hAnsi="仿宋" w:eastAsia="仿宋"/>
          <w:color w:val="auto"/>
        </w:rPr>
        <w:t>项的纠正措施</w:t>
      </w:r>
      <w:r>
        <w:rPr>
          <w:rFonts w:hint="eastAsia" w:ascii="仿宋" w:hAnsi="仿宋" w:eastAsia="仿宋"/>
          <w:color w:val="auto"/>
        </w:rPr>
        <w:t>由</w:t>
      </w:r>
      <w:r>
        <w:rPr>
          <w:rFonts w:hint="eastAsia" w:ascii="仿宋" w:hAnsi="仿宋" w:eastAsia="仿宋"/>
          <w:color w:val="auto"/>
          <w:lang w:eastAsia="zh-CN"/>
        </w:rPr>
        <w:t>ZBCC</w:t>
      </w:r>
      <w:r>
        <w:rPr>
          <w:rFonts w:hint="eastAsia" w:ascii="仿宋" w:hAnsi="仿宋" w:eastAsia="仿宋"/>
          <w:color w:val="auto"/>
        </w:rPr>
        <w:t>审核</w:t>
      </w:r>
      <w:r>
        <w:rPr>
          <w:rFonts w:ascii="仿宋" w:hAnsi="仿宋" w:eastAsia="仿宋"/>
          <w:color w:val="auto"/>
        </w:rPr>
        <w:t>人员</w:t>
      </w:r>
      <w:r>
        <w:rPr>
          <w:rFonts w:hint="eastAsia" w:ascii="仿宋" w:hAnsi="仿宋" w:eastAsia="仿宋"/>
          <w:color w:val="auto"/>
        </w:rPr>
        <w:t>现场</w:t>
      </w:r>
      <w:r>
        <w:rPr>
          <w:rFonts w:ascii="仿宋" w:hAnsi="仿宋" w:eastAsia="仿宋"/>
          <w:color w:val="auto"/>
        </w:rPr>
        <w:t>验证有效后，甲方方可通过认证，或保持认证。</w:t>
      </w:r>
      <w:r>
        <w:rPr>
          <w:rFonts w:hint="eastAsia" w:ascii="仿宋" w:hAnsi="仿宋" w:eastAsia="仿宋"/>
          <w:color w:val="auto"/>
        </w:rPr>
        <w:t>期</w:t>
      </w:r>
      <w:r>
        <w:rPr>
          <w:rFonts w:ascii="仿宋" w:hAnsi="仿宋" w:eastAsia="仿宋"/>
          <w:color w:val="auto"/>
        </w:rPr>
        <w:t>间发生的相关费用由甲方承担。</w:t>
      </w:r>
    </w:p>
    <w:p>
      <w:pPr>
        <w:widowControl/>
        <w:snapToGrid w:val="0"/>
        <w:spacing w:line="420" w:lineRule="exact"/>
        <w:ind w:left="630" w:leftChars="300"/>
        <w:jc w:val="left"/>
        <w:rPr>
          <w:rFonts w:ascii="仿宋" w:hAnsi="仿宋" w:eastAsia="仿宋"/>
          <w:color w:val="auto"/>
        </w:rPr>
      </w:pPr>
      <w:r>
        <w:rPr>
          <w:rFonts w:ascii="仿宋" w:hAnsi="仿宋" w:eastAsia="仿宋"/>
          <w:color w:val="auto"/>
        </w:rPr>
        <w:t>2</w:t>
      </w:r>
      <w:r>
        <w:rPr>
          <w:rFonts w:hint="eastAsia" w:ascii="仿宋" w:hAnsi="仿宋" w:eastAsia="仿宋"/>
          <w:color w:val="auto"/>
        </w:rPr>
        <w:t>、</w:t>
      </w:r>
      <w:r>
        <w:rPr>
          <w:rFonts w:ascii="仿宋" w:hAnsi="仿宋" w:eastAsia="仿宋"/>
          <w:color w:val="auto"/>
        </w:rPr>
        <w:t>若发现客户甲方有意不遵守法律法规，</w:t>
      </w:r>
      <w:r>
        <w:rPr>
          <w:rFonts w:hint="eastAsia" w:ascii="仿宋" w:hAnsi="仿宋" w:eastAsia="仿宋"/>
          <w:color w:val="auto"/>
          <w:lang w:eastAsia="zh-CN"/>
        </w:rPr>
        <w:t>ZBCC</w:t>
      </w:r>
      <w:r>
        <w:rPr>
          <w:rFonts w:ascii="仿宋" w:hAnsi="仿宋" w:eastAsia="仿宋"/>
          <w:color w:val="auto"/>
        </w:rPr>
        <w:t>则视甲方为未能执行方针中守法承诺的严重缺陷，</w:t>
      </w:r>
    </w:p>
    <w:p>
      <w:pPr>
        <w:widowControl/>
        <w:snapToGrid w:val="0"/>
        <w:spacing w:line="420" w:lineRule="exact"/>
        <w:ind w:firstLine="1050" w:firstLineChars="500"/>
        <w:jc w:val="left"/>
        <w:rPr>
          <w:rFonts w:ascii="仿宋" w:hAnsi="仿宋" w:eastAsia="仿宋"/>
          <w:color w:val="auto"/>
        </w:rPr>
      </w:pPr>
      <w:r>
        <w:rPr>
          <w:rFonts w:ascii="仿宋" w:hAnsi="仿宋" w:eastAsia="仿宋"/>
          <w:color w:val="auto"/>
        </w:rPr>
        <w:t>不予通过认证，或暂停或者撤销</w:t>
      </w:r>
      <w:r>
        <w:rPr>
          <w:rFonts w:hint="eastAsia" w:ascii="仿宋" w:hAnsi="仿宋" w:eastAsia="仿宋"/>
          <w:color w:val="auto"/>
        </w:rPr>
        <w:t>认证</w:t>
      </w:r>
      <w:r>
        <w:rPr>
          <w:rFonts w:ascii="仿宋" w:hAnsi="仿宋" w:eastAsia="仿宋"/>
          <w:color w:val="auto"/>
        </w:rPr>
        <w:t>证书。情节严重者</w:t>
      </w:r>
      <w:r>
        <w:rPr>
          <w:rFonts w:hint="eastAsia" w:ascii="仿宋" w:hAnsi="仿宋" w:eastAsia="仿宋"/>
          <w:color w:val="auto"/>
          <w:lang w:eastAsia="zh-CN"/>
        </w:rPr>
        <w:t>ZBCC</w:t>
      </w:r>
      <w:r>
        <w:rPr>
          <w:rFonts w:ascii="仿宋" w:hAnsi="仿宋" w:eastAsia="仿宋"/>
          <w:color w:val="auto"/>
        </w:rPr>
        <w:t>将向有关部门反映客户的违规情</w:t>
      </w:r>
    </w:p>
    <w:p>
      <w:pPr>
        <w:widowControl/>
        <w:snapToGrid w:val="0"/>
        <w:spacing w:line="420" w:lineRule="exact"/>
        <w:ind w:left="630" w:leftChars="300" w:firstLine="420" w:firstLineChars="200"/>
        <w:jc w:val="left"/>
        <w:rPr>
          <w:rFonts w:ascii="仿宋" w:hAnsi="仿宋" w:eastAsia="仿宋"/>
          <w:color w:val="auto"/>
        </w:rPr>
      </w:pPr>
      <w:r>
        <w:rPr>
          <w:rFonts w:ascii="仿宋" w:hAnsi="仿宋" w:eastAsia="仿宋"/>
          <w:color w:val="auto"/>
        </w:rPr>
        <w:t>况。乙方应向甲方通报理由,</w:t>
      </w:r>
      <w:r>
        <w:rPr>
          <w:rFonts w:hint="eastAsia" w:ascii="仿宋" w:hAnsi="仿宋" w:eastAsia="仿宋"/>
          <w:color w:val="auto"/>
        </w:rPr>
        <w:t>由双方协商</w:t>
      </w:r>
      <w:r>
        <w:rPr>
          <w:rFonts w:ascii="仿宋" w:hAnsi="仿宋" w:eastAsia="仿宋"/>
          <w:color w:val="auto"/>
        </w:rPr>
        <w:t>确定后续的处理措施</w:t>
      </w:r>
      <w:r>
        <w:rPr>
          <w:rFonts w:hint="eastAsia" w:ascii="仿宋" w:hAnsi="仿宋" w:eastAsia="仿宋"/>
          <w:color w:val="auto"/>
        </w:rPr>
        <w:t>。乙</w:t>
      </w:r>
      <w:r>
        <w:rPr>
          <w:rFonts w:ascii="仿宋" w:hAnsi="仿宋" w:eastAsia="仿宋"/>
          <w:color w:val="auto"/>
        </w:rPr>
        <w:t>方</w:t>
      </w:r>
      <w:r>
        <w:rPr>
          <w:rFonts w:hint="eastAsia" w:ascii="仿宋" w:hAnsi="仿宋" w:eastAsia="仿宋"/>
          <w:color w:val="auto"/>
        </w:rPr>
        <w:t>审核</w:t>
      </w:r>
      <w:r>
        <w:rPr>
          <w:rFonts w:ascii="仿宋" w:hAnsi="仿宋" w:eastAsia="仿宋"/>
          <w:color w:val="auto"/>
        </w:rPr>
        <w:t>所发生的相关费用由</w:t>
      </w:r>
    </w:p>
    <w:p>
      <w:pPr>
        <w:widowControl/>
        <w:snapToGrid w:val="0"/>
        <w:spacing w:line="420" w:lineRule="exact"/>
        <w:ind w:left="630" w:leftChars="300" w:firstLine="420" w:firstLineChars="200"/>
        <w:jc w:val="left"/>
        <w:rPr>
          <w:rFonts w:hint="eastAsia" w:ascii="仿宋" w:hAnsi="仿宋" w:eastAsia="仿宋"/>
          <w:color w:val="auto"/>
        </w:rPr>
      </w:pPr>
      <w:r>
        <w:rPr>
          <w:rFonts w:ascii="仿宋" w:hAnsi="仿宋" w:eastAsia="仿宋"/>
          <w:color w:val="auto"/>
        </w:rPr>
        <w:t>甲方承担。</w:t>
      </w:r>
    </w:p>
    <w:p>
      <w:pPr>
        <w:tabs>
          <w:tab w:val="left" w:pos="360"/>
        </w:tabs>
        <w:adjustRightInd w:val="0"/>
        <w:snapToGrid w:val="0"/>
        <w:spacing w:line="420" w:lineRule="exact"/>
        <w:ind w:left="735" w:hanging="735" w:hangingChars="350"/>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九</w:t>
      </w:r>
      <w:r>
        <w:rPr>
          <w:rFonts w:ascii="仿宋" w:hAnsi="仿宋" w:eastAsia="仿宋"/>
          <w:color w:val="auto"/>
        </w:rPr>
        <w:t>条</w:t>
      </w:r>
      <w:r>
        <w:rPr>
          <w:rFonts w:hint="eastAsia" w:ascii="仿宋" w:hAnsi="仿宋" w:eastAsia="仿宋"/>
          <w:color w:val="auto"/>
        </w:rPr>
        <w:t xml:space="preserve"> </w:t>
      </w:r>
      <w:r>
        <w:rPr>
          <w:rFonts w:hint="eastAsia" w:ascii="仿宋" w:hAnsi="仿宋" w:eastAsia="仿宋"/>
          <w:color w:val="auto"/>
          <w:lang w:eastAsia="zh-CN"/>
        </w:rPr>
        <w:t>ZBCC</w:t>
      </w:r>
      <w:r>
        <w:rPr>
          <w:rFonts w:hint="eastAsia" w:ascii="仿宋" w:hAnsi="仿宋" w:eastAsia="仿宋"/>
          <w:color w:val="auto"/>
        </w:rPr>
        <w:t>在</w:t>
      </w:r>
      <w:r>
        <w:rPr>
          <w:rFonts w:ascii="仿宋" w:hAnsi="仿宋" w:eastAsia="仿宋"/>
          <w:color w:val="auto"/>
        </w:rPr>
        <w:t>审核</w:t>
      </w:r>
      <w:r>
        <w:rPr>
          <w:rFonts w:hint="eastAsia" w:ascii="仿宋" w:hAnsi="仿宋" w:eastAsia="仿宋"/>
          <w:color w:val="auto"/>
        </w:rPr>
        <w:t>进行</w:t>
      </w:r>
      <w:r>
        <w:rPr>
          <w:rFonts w:ascii="仿宋" w:hAnsi="仿宋" w:eastAsia="仿宋"/>
          <w:color w:val="auto"/>
        </w:rPr>
        <w:t>中，如果由于客户宣称合法的特权或他们私有的性质，而使</w:t>
      </w:r>
      <w:r>
        <w:rPr>
          <w:rFonts w:hint="eastAsia" w:ascii="仿宋" w:hAnsi="仿宋" w:eastAsia="仿宋"/>
          <w:color w:val="auto"/>
          <w:lang w:eastAsia="zh-CN"/>
        </w:rPr>
        <w:t>ZBCC</w:t>
      </w:r>
      <w:r>
        <w:rPr>
          <w:rFonts w:hint="eastAsia" w:ascii="仿宋" w:hAnsi="仿宋" w:eastAsia="仿宋"/>
          <w:color w:val="auto"/>
        </w:rPr>
        <w:t>无法</w:t>
      </w:r>
      <w:r>
        <w:rPr>
          <w:rFonts w:ascii="仿宋" w:hAnsi="仿宋" w:eastAsia="仿宋"/>
          <w:color w:val="auto"/>
        </w:rPr>
        <w:t>对某些有关法律法规符合性的特殊数据及其他信息进行审核，会导致</w:t>
      </w:r>
      <w:r>
        <w:rPr>
          <w:rFonts w:hint="eastAsia" w:ascii="仿宋" w:hAnsi="仿宋" w:eastAsia="仿宋"/>
          <w:color w:val="auto"/>
        </w:rPr>
        <w:t>甲</w:t>
      </w:r>
      <w:r>
        <w:rPr>
          <w:rFonts w:ascii="仿宋" w:hAnsi="仿宋" w:eastAsia="仿宋"/>
          <w:color w:val="auto"/>
        </w:rPr>
        <w:t>方无法进行注册或继续注册，</w:t>
      </w:r>
      <w:r>
        <w:rPr>
          <w:rFonts w:hint="eastAsia" w:ascii="仿宋" w:hAnsi="仿宋" w:eastAsia="仿宋"/>
          <w:color w:val="auto"/>
        </w:rPr>
        <w:t>除</w:t>
      </w:r>
      <w:r>
        <w:rPr>
          <w:rFonts w:ascii="仿宋" w:hAnsi="仿宋" w:eastAsia="仿宋"/>
          <w:color w:val="auto"/>
        </w:rPr>
        <w:t>非</w:t>
      </w:r>
      <w:r>
        <w:rPr>
          <w:rFonts w:hint="eastAsia" w:ascii="仿宋" w:hAnsi="仿宋" w:eastAsia="仿宋"/>
          <w:color w:val="auto"/>
          <w:lang w:eastAsia="zh-CN"/>
        </w:rPr>
        <w:t>ZBCC</w:t>
      </w:r>
      <w:r>
        <w:rPr>
          <w:rFonts w:hint="eastAsia" w:ascii="仿宋" w:hAnsi="仿宋" w:eastAsia="仿宋"/>
          <w:color w:val="auto"/>
        </w:rPr>
        <w:t>获</w:t>
      </w:r>
      <w:r>
        <w:rPr>
          <w:rFonts w:ascii="仿宋" w:hAnsi="仿宋" w:eastAsia="仿宋"/>
          <w:color w:val="auto"/>
        </w:rPr>
        <w:t>得确实证据表明在法规符合性方面，整个体系要求是通过足够的文件和可证实的方式在有效实施的</w:t>
      </w:r>
      <w:r>
        <w:rPr>
          <w:rFonts w:hint="eastAsia" w:ascii="仿宋" w:hAnsi="仿宋" w:eastAsia="仿宋"/>
          <w:color w:val="auto"/>
        </w:rPr>
        <w:t>。</w:t>
      </w:r>
      <w:r>
        <w:rPr>
          <w:rFonts w:ascii="仿宋" w:hAnsi="仿宋" w:eastAsia="仿宋"/>
          <w:color w:val="auto"/>
        </w:rPr>
        <w:t>乙方应向甲方通报理由,</w:t>
      </w:r>
      <w:r>
        <w:rPr>
          <w:rFonts w:hint="eastAsia" w:ascii="仿宋" w:hAnsi="仿宋" w:eastAsia="仿宋"/>
          <w:color w:val="auto"/>
        </w:rPr>
        <w:t>由双方协商</w:t>
      </w:r>
      <w:r>
        <w:rPr>
          <w:rFonts w:ascii="仿宋" w:hAnsi="仿宋" w:eastAsia="仿宋"/>
          <w:color w:val="auto"/>
        </w:rPr>
        <w:t>确定后续的处理措施（如重新修改审核计划，改变审核目的、审核范围或终止审核等），相关费用由甲方承担。</w:t>
      </w:r>
    </w:p>
    <w:p>
      <w:pPr>
        <w:adjustRightInd w:val="0"/>
        <w:snapToGrid w:val="0"/>
        <w:spacing w:line="420" w:lineRule="exact"/>
        <w:ind w:left="-2"/>
        <w:jc w:val="left"/>
        <w:rPr>
          <w:rFonts w:ascii="仿宋" w:hAnsi="仿宋" w:eastAsia="仿宋"/>
          <w:color w:val="auto"/>
        </w:rPr>
      </w:pPr>
      <w:r>
        <w:rPr>
          <w:rFonts w:hint="eastAsia" w:ascii="仿宋" w:hAnsi="仿宋" w:eastAsia="仿宋"/>
          <w:color w:val="auto"/>
        </w:rPr>
        <w:t>第十</w:t>
      </w:r>
      <w:r>
        <w:rPr>
          <w:rFonts w:ascii="仿宋" w:hAnsi="仿宋" w:eastAsia="仿宋"/>
          <w:color w:val="auto"/>
        </w:rPr>
        <w:t>条</w:t>
      </w:r>
      <w:r>
        <w:rPr>
          <w:rFonts w:hint="eastAsia" w:ascii="仿宋" w:hAnsi="仿宋" w:eastAsia="仿宋"/>
          <w:color w:val="auto"/>
        </w:rPr>
        <w:t xml:space="preserve"> </w:t>
      </w:r>
      <w:r>
        <w:rPr>
          <w:rFonts w:ascii="仿宋" w:hAnsi="仿宋" w:eastAsia="仿宋"/>
          <w:color w:val="auto"/>
        </w:rPr>
        <w:t>如甲方中途提出终止审核，若非乙方的责任，甲方仍应支付已发生的相关费用。</w:t>
      </w:r>
    </w:p>
    <w:p>
      <w:pPr>
        <w:adjustRightInd w:val="0"/>
        <w:snapToGrid w:val="0"/>
        <w:spacing w:line="420" w:lineRule="exact"/>
        <w:ind w:left="945" w:hanging="945" w:hangingChars="450"/>
        <w:jc w:val="left"/>
        <w:rPr>
          <w:rFonts w:hint="eastAsia" w:ascii="仿宋" w:hAnsi="仿宋" w:eastAsia="仿宋"/>
          <w:color w:val="auto"/>
        </w:rPr>
      </w:pPr>
      <w:r>
        <w:rPr>
          <w:rFonts w:hint="eastAsia" w:ascii="仿宋" w:hAnsi="仿宋" w:eastAsia="仿宋"/>
          <w:color w:val="auto"/>
        </w:rPr>
        <w:t>第</w:t>
      </w:r>
      <w:r>
        <w:rPr>
          <w:rFonts w:ascii="仿宋" w:hAnsi="仿宋" w:eastAsia="仿宋"/>
          <w:color w:val="auto"/>
        </w:rPr>
        <w:t>十</w:t>
      </w:r>
      <w:r>
        <w:rPr>
          <w:rFonts w:hint="eastAsia" w:ascii="仿宋" w:hAnsi="仿宋" w:eastAsia="仿宋"/>
          <w:color w:val="auto"/>
          <w:lang w:val="en-US" w:eastAsia="zh-CN"/>
        </w:rPr>
        <w:t>一</w:t>
      </w:r>
      <w:r>
        <w:rPr>
          <w:rFonts w:ascii="仿宋" w:hAnsi="仿宋" w:eastAsia="仿宋"/>
          <w:color w:val="auto"/>
        </w:rPr>
        <w:t>条</w:t>
      </w:r>
      <w:r>
        <w:rPr>
          <w:rFonts w:hint="eastAsia" w:ascii="仿宋" w:hAnsi="仿宋" w:eastAsia="仿宋"/>
          <w:color w:val="auto"/>
        </w:rPr>
        <w:t xml:space="preserve"> </w:t>
      </w:r>
      <w:r>
        <w:rPr>
          <w:rFonts w:ascii="仿宋" w:hAnsi="仿宋" w:eastAsia="仿宋"/>
          <w:color w:val="auto"/>
        </w:rPr>
        <w:t>乙方对甲方的管理体系审核合格并对相关不符合的纠正措施的有效性跟踪验证后，在</w:t>
      </w:r>
      <w:r>
        <w:rPr>
          <w:rFonts w:hint="eastAsia" w:ascii="仿宋" w:hAnsi="仿宋" w:eastAsia="仿宋"/>
          <w:color w:val="auto"/>
        </w:rPr>
        <w:t>30天内 推</w:t>
      </w:r>
      <w:r>
        <w:rPr>
          <w:rFonts w:ascii="仿宋" w:hAnsi="仿宋" w:eastAsia="仿宋"/>
          <w:color w:val="auto"/>
        </w:rPr>
        <w:t>荐认证注册，经评定合格并批准后向甲方颁发体系认证证书，乙方将定期在媒体上公布甲方名录。</w:t>
      </w:r>
    </w:p>
    <w:p>
      <w:pPr>
        <w:adjustRightInd w:val="0"/>
        <w:snapToGrid w:val="0"/>
        <w:spacing w:line="420" w:lineRule="exact"/>
        <w:ind w:left="945" w:hanging="945" w:hangingChars="450"/>
        <w:jc w:val="left"/>
        <w:rPr>
          <w:rFonts w:ascii="仿宋" w:hAnsi="仿宋" w:eastAsia="仿宋"/>
          <w:color w:val="auto"/>
        </w:rPr>
      </w:pPr>
      <w:r>
        <w:rPr>
          <w:rFonts w:hint="eastAsia" w:ascii="仿宋" w:hAnsi="仿宋" w:eastAsia="仿宋"/>
          <w:color w:val="auto"/>
        </w:rPr>
        <w:t>第十</w:t>
      </w:r>
      <w:r>
        <w:rPr>
          <w:rFonts w:hint="eastAsia" w:ascii="仿宋" w:hAnsi="仿宋" w:eastAsia="仿宋"/>
          <w:color w:val="auto"/>
          <w:lang w:val="en-US" w:eastAsia="zh-CN"/>
        </w:rPr>
        <w:t>二</w:t>
      </w:r>
      <w:r>
        <w:rPr>
          <w:rFonts w:hint="eastAsia" w:ascii="仿宋" w:hAnsi="仿宋" w:eastAsia="仿宋"/>
          <w:color w:val="auto"/>
        </w:rPr>
        <w:t xml:space="preserve">条 </w:t>
      </w:r>
      <w:r>
        <w:rPr>
          <w:rFonts w:ascii="仿宋" w:hAnsi="仿宋" w:eastAsia="仿宋"/>
          <w:color w:val="auto"/>
        </w:rPr>
        <w:t>甲方如对审核过程、审核行为或审核结论有异议，可与审核组长协商解决。如不能达成一致意见，甲方可于现场审核结束后30天内向</w:t>
      </w:r>
      <w:r>
        <w:rPr>
          <w:rFonts w:hint="eastAsia" w:ascii="仿宋" w:hAnsi="仿宋" w:eastAsia="仿宋"/>
          <w:color w:val="auto"/>
          <w:lang w:eastAsia="zh-CN"/>
        </w:rPr>
        <w:t>ZBCC</w:t>
      </w:r>
      <w:r>
        <w:rPr>
          <w:rFonts w:ascii="仿宋" w:hAnsi="仿宋" w:eastAsia="仿宋"/>
          <w:color w:val="auto"/>
        </w:rPr>
        <w:t>提出书面投诉或申诉。如对上述机构的决定仍有异议，可进一步向</w:t>
      </w:r>
      <w:r>
        <w:rPr>
          <w:rFonts w:hint="eastAsia" w:ascii="仿宋" w:hAnsi="仿宋" w:eastAsia="仿宋"/>
          <w:color w:val="auto"/>
        </w:rPr>
        <w:t>认可机构</w:t>
      </w:r>
      <w:r>
        <w:rPr>
          <w:rFonts w:ascii="仿宋" w:hAnsi="仿宋" w:eastAsia="仿宋"/>
          <w:color w:val="auto"/>
        </w:rPr>
        <w:t>提出复议。</w:t>
      </w:r>
    </w:p>
    <w:p>
      <w:pPr>
        <w:widowControl/>
        <w:adjustRightInd w:val="0"/>
        <w:snapToGrid w:val="0"/>
        <w:spacing w:line="420" w:lineRule="exact"/>
        <w:ind w:left="945" w:hanging="945" w:hangingChars="450"/>
        <w:jc w:val="left"/>
        <w:rPr>
          <w:rFonts w:ascii="仿宋" w:hAnsi="仿宋" w:eastAsia="仿宋"/>
          <w:color w:val="auto"/>
          <w:kern w:val="0"/>
        </w:rPr>
      </w:pPr>
      <w:r>
        <w:rPr>
          <w:rFonts w:ascii="仿宋" w:hAnsi="仿宋" w:eastAsia="仿宋"/>
          <w:color w:val="auto"/>
        </w:rPr>
        <w:t>第十</w:t>
      </w:r>
      <w:r>
        <w:rPr>
          <w:rFonts w:hint="eastAsia" w:ascii="仿宋" w:hAnsi="仿宋" w:eastAsia="仿宋"/>
          <w:color w:val="auto"/>
          <w:lang w:val="en-US" w:eastAsia="zh-CN"/>
        </w:rPr>
        <w:t>三</w:t>
      </w:r>
      <w:r>
        <w:rPr>
          <w:rFonts w:ascii="仿宋" w:hAnsi="仿宋" w:eastAsia="仿宋"/>
          <w:color w:val="auto"/>
        </w:rPr>
        <w:t>条</w:t>
      </w:r>
      <w:r>
        <w:rPr>
          <w:rFonts w:hint="eastAsia" w:ascii="仿宋" w:hAnsi="仿宋" w:eastAsia="仿宋"/>
          <w:color w:val="auto"/>
        </w:rPr>
        <w:t xml:space="preserve"> </w:t>
      </w:r>
      <w:r>
        <w:rPr>
          <w:rFonts w:ascii="仿宋" w:hAnsi="仿宋" w:eastAsia="仿宋"/>
          <w:color w:val="auto"/>
        </w:rPr>
        <w:t>在证书有效期内，甲方应建立程序，在发生下列情况之一时，于情况发生后的二</w:t>
      </w:r>
      <w:r>
        <w:rPr>
          <w:rFonts w:hint="eastAsia" w:ascii="仿宋" w:hAnsi="仿宋" w:eastAsia="仿宋"/>
          <w:color w:val="auto"/>
        </w:rPr>
        <w:t>个工作日内通报</w:t>
      </w:r>
      <w:r>
        <w:rPr>
          <w:rFonts w:ascii="仿宋" w:hAnsi="仿宋" w:eastAsia="仿宋"/>
          <w:color w:val="auto"/>
        </w:rPr>
        <w:t>乙方，乙方视情况采取相应的措施 (包括调整对甲方认证监审时间、方式及有关内容、暂停或撤销认证证书等)。若甲方未在规定时限内通报乙方，则乙方将保留追究相关法律责任的权利：</w:t>
      </w:r>
      <w:r>
        <w:rPr>
          <w:rFonts w:ascii="仿宋" w:hAnsi="仿宋" w:eastAsia="仿宋"/>
          <w:color w:val="auto"/>
          <w:kern w:val="0"/>
        </w:rPr>
        <w:t xml:space="preserve"> </w:t>
      </w:r>
    </w:p>
    <w:p>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1、</w:t>
      </w:r>
      <w:r>
        <w:rPr>
          <w:rFonts w:ascii="仿宋" w:hAnsi="仿宋" w:eastAsia="仿宋"/>
          <w:color w:val="auto"/>
          <w:kern w:val="0"/>
        </w:rPr>
        <w:t>体系的重大变更，包括：</w:t>
      </w:r>
    </w:p>
    <w:p>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法律地位、经营状况、组织状态或所有权；</w:t>
      </w:r>
    </w:p>
    <w:p>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组织管理层（如关键的管理、决策或技术人员流失导致体系有效性下降）；</w:t>
      </w:r>
    </w:p>
    <w:p>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联系地址和场所；</w:t>
      </w:r>
    </w:p>
    <w:p>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获证管理体系覆盖的运作范围；以“产品类别”表述的认证范围中，产品具体品种的变更；</w:t>
      </w:r>
    </w:p>
    <w:p>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管理体系和过程的重大变更；</w:t>
      </w:r>
    </w:p>
    <w:p>
      <w:pPr>
        <w:snapToGrid w:val="0"/>
        <w:spacing w:line="420" w:lineRule="exact"/>
        <w:ind w:firstLine="945" w:firstLineChars="450"/>
        <w:jc w:val="left"/>
        <w:rPr>
          <w:rFonts w:ascii="仿宋" w:hAnsi="仿宋" w:eastAsia="仿宋"/>
          <w:color w:val="auto"/>
          <w:kern w:val="0"/>
        </w:rPr>
      </w:pPr>
      <w:r>
        <w:rPr>
          <w:rFonts w:ascii="仿宋" w:hAnsi="仿宋" w:eastAsia="仿宋"/>
          <w:color w:val="auto"/>
          <w:kern w:val="0"/>
        </w:rPr>
        <w:t>2</w:t>
      </w:r>
      <w:r>
        <w:rPr>
          <w:rFonts w:hint="eastAsia" w:ascii="仿宋" w:hAnsi="仿宋" w:eastAsia="仿宋"/>
          <w:color w:val="auto"/>
          <w:kern w:val="0"/>
        </w:rPr>
        <w:t>、</w:t>
      </w:r>
      <w:r>
        <w:rPr>
          <w:rFonts w:ascii="仿宋" w:hAnsi="仿宋" w:eastAsia="仿宋"/>
          <w:color w:val="auto"/>
          <w:kern w:val="0"/>
        </w:rPr>
        <w:t>发生质量/环境/安全重大事故</w:t>
      </w:r>
      <w:r>
        <w:rPr>
          <w:rFonts w:hint="eastAsia" w:ascii="仿宋" w:hAnsi="仿宋" w:eastAsia="仿宋"/>
          <w:color w:val="auto"/>
          <w:kern w:val="0"/>
        </w:rPr>
        <w:t>或其他导致监管机构介入的严重事件或违法的情况</w:t>
      </w:r>
      <w:r>
        <w:rPr>
          <w:rFonts w:ascii="仿宋" w:hAnsi="仿宋" w:eastAsia="仿宋"/>
          <w:color w:val="auto"/>
          <w:kern w:val="0"/>
        </w:rPr>
        <w:t>；</w:t>
      </w:r>
    </w:p>
    <w:p>
      <w:pPr>
        <w:snapToGrid w:val="0"/>
        <w:spacing w:line="420" w:lineRule="exact"/>
        <w:ind w:firstLine="945" w:firstLineChars="450"/>
        <w:jc w:val="left"/>
        <w:rPr>
          <w:rFonts w:ascii="仿宋" w:hAnsi="仿宋" w:eastAsia="仿宋"/>
          <w:color w:val="auto"/>
        </w:rPr>
      </w:pPr>
      <w:r>
        <w:rPr>
          <w:rFonts w:ascii="仿宋" w:hAnsi="仿宋" w:eastAsia="仿宋"/>
          <w:color w:val="auto"/>
        </w:rPr>
        <w:t>3</w:t>
      </w:r>
      <w:r>
        <w:rPr>
          <w:rFonts w:hint="eastAsia" w:ascii="仿宋" w:hAnsi="仿宋" w:eastAsia="仿宋"/>
          <w:color w:val="auto"/>
        </w:rPr>
        <w:t>、</w:t>
      </w:r>
      <w:r>
        <w:rPr>
          <w:rFonts w:ascii="仿宋" w:hAnsi="仿宋" w:eastAsia="仿宋"/>
          <w:color w:val="auto"/>
        </w:rPr>
        <w:t>顾客/相关方重大投诉；</w:t>
      </w:r>
    </w:p>
    <w:p>
      <w:pPr>
        <w:snapToGrid w:val="0"/>
        <w:spacing w:line="420" w:lineRule="exact"/>
        <w:ind w:firstLine="945" w:firstLineChars="450"/>
        <w:jc w:val="left"/>
        <w:rPr>
          <w:rFonts w:ascii="仿宋" w:hAnsi="仿宋" w:eastAsia="仿宋"/>
          <w:color w:val="auto"/>
        </w:rPr>
      </w:pPr>
      <w:r>
        <w:rPr>
          <w:rFonts w:ascii="仿宋" w:hAnsi="仿宋" w:eastAsia="仿宋"/>
          <w:color w:val="auto"/>
        </w:rPr>
        <w:t>4</w:t>
      </w:r>
      <w:r>
        <w:rPr>
          <w:rFonts w:hint="eastAsia" w:ascii="仿宋" w:hAnsi="仿宋" w:eastAsia="仿宋"/>
          <w:color w:val="auto"/>
        </w:rPr>
        <w:t>、</w:t>
      </w:r>
      <w:r>
        <w:rPr>
          <w:rFonts w:ascii="仿宋" w:hAnsi="仿宋" w:eastAsia="仿宋"/>
          <w:color w:val="auto"/>
        </w:rPr>
        <w:t>召回事件及处理情况；</w:t>
      </w:r>
    </w:p>
    <w:p>
      <w:pPr>
        <w:snapToGrid w:val="0"/>
        <w:spacing w:line="420" w:lineRule="exact"/>
        <w:ind w:firstLine="945" w:firstLineChars="450"/>
        <w:jc w:val="left"/>
        <w:rPr>
          <w:rFonts w:ascii="仿宋" w:hAnsi="仿宋" w:eastAsia="仿宋"/>
          <w:color w:val="auto"/>
          <w:kern w:val="0"/>
        </w:rPr>
      </w:pPr>
      <w:r>
        <w:rPr>
          <w:rFonts w:ascii="仿宋" w:hAnsi="仿宋" w:eastAsia="仿宋"/>
          <w:color w:val="auto"/>
          <w:kern w:val="0"/>
        </w:rPr>
        <w:t>5</w:t>
      </w:r>
      <w:r>
        <w:rPr>
          <w:rFonts w:hint="eastAsia" w:ascii="仿宋" w:hAnsi="仿宋" w:eastAsia="仿宋"/>
          <w:color w:val="auto"/>
          <w:kern w:val="0"/>
        </w:rPr>
        <w:t>、</w:t>
      </w:r>
      <w:r>
        <w:rPr>
          <w:rFonts w:ascii="仿宋" w:hAnsi="仿宋" w:eastAsia="仿宋"/>
          <w:color w:val="auto"/>
          <w:kern w:val="0"/>
        </w:rPr>
        <w:t>适用的法律法规要求的变更信息；</w:t>
      </w:r>
    </w:p>
    <w:p>
      <w:pPr>
        <w:snapToGrid w:val="0"/>
        <w:spacing w:line="420" w:lineRule="exact"/>
        <w:ind w:firstLine="945" w:firstLineChars="450"/>
        <w:jc w:val="left"/>
        <w:rPr>
          <w:rFonts w:ascii="仿宋" w:hAnsi="仿宋" w:eastAsia="仿宋"/>
          <w:color w:val="auto"/>
        </w:rPr>
      </w:pPr>
      <w:r>
        <w:rPr>
          <w:rFonts w:ascii="仿宋" w:hAnsi="仿宋" w:eastAsia="仿宋"/>
          <w:color w:val="auto"/>
        </w:rPr>
        <w:t>6</w:t>
      </w:r>
      <w:r>
        <w:rPr>
          <w:rFonts w:hint="eastAsia" w:ascii="仿宋" w:hAnsi="仿宋" w:eastAsia="仿宋"/>
          <w:color w:val="auto"/>
        </w:rPr>
        <w:t>、</w:t>
      </w:r>
      <w:r>
        <w:rPr>
          <w:rFonts w:ascii="仿宋" w:hAnsi="仿宋" w:eastAsia="仿宋"/>
          <w:color w:val="auto"/>
        </w:rPr>
        <w:t>其他重要信息。</w:t>
      </w:r>
    </w:p>
    <w:p>
      <w:pPr>
        <w:adjustRightInd w:val="0"/>
        <w:snapToGrid w:val="0"/>
        <w:spacing w:line="420" w:lineRule="exact"/>
        <w:ind w:left="945" w:hanging="945" w:hangingChars="450"/>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四</w:t>
      </w:r>
      <w:r>
        <w:rPr>
          <w:rFonts w:ascii="仿宋" w:hAnsi="仿宋" w:eastAsia="仿宋"/>
          <w:color w:val="auto"/>
        </w:rPr>
        <w:t>条 当甲方提出变更证书内容时，乙方将于接到变更申请的一个月内通知甲方应采取的必要措施，并对甲方进行换证审核。同时，根据证书变更情况，双方可协商另行签订相关协议。</w:t>
      </w:r>
    </w:p>
    <w:p>
      <w:pPr>
        <w:adjustRightInd w:val="0"/>
        <w:snapToGrid w:val="0"/>
        <w:spacing w:line="420" w:lineRule="exact"/>
        <w:ind w:left="945" w:hanging="945" w:hangingChars="450"/>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五</w:t>
      </w:r>
      <w:r>
        <w:rPr>
          <w:rFonts w:ascii="仿宋" w:hAnsi="仿宋" w:eastAsia="仿宋"/>
          <w:color w:val="auto"/>
        </w:rPr>
        <w:t>条 如果甲方在认证证书有效期内发生下列情况之一者，乙方将按规定暂停认证证书的使用，并要求其限期（最长期限为不超过6个月）纠正，纠正经验证有效后乙方将通知甲方允许继续使用认证证书。同时，甲方在证书暂停期内，应停止相关认证资质的宣传及证书和标志的使用：</w:t>
      </w:r>
    </w:p>
    <w:p>
      <w:pPr>
        <w:snapToGrid w:val="0"/>
        <w:spacing w:line="420" w:lineRule="exact"/>
        <w:ind w:firstLine="945" w:firstLineChars="450"/>
        <w:jc w:val="left"/>
        <w:rPr>
          <w:rFonts w:ascii="仿宋" w:hAnsi="仿宋" w:eastAsia="仿宋"/>
          <w:color w:val="auto"/>
        </w:rPr>
      </w:pPr>
      <w:r>
        <w:rPr>
          <w:rFonts w:ascii="仿宋" w:hAnsi="仿宋" w:eastAsia="仿宋"/>
          <w:color w:val="auto"/>
          <w:kern w:val="0"/>
        </w:rPr>
        <w:t>1、</w:t>
      </w:r>
      <w:r>
        <w:rPr>
          <w:rFonts w:ascii="仿宋" w:hAnsi="仿宋" w:eastAsia="仿宋"/>
          <w:color w:val="auto"/>
          <w:kern w:val="0"/>
          <w:lang w:val="zh-CN"/>
        </w:rPr>
        <w:t>监督审核中发现的不符合项，在商定的</w:t>
      </w:r>
      <w:r>
        <w:rPr>
          <w:rFonts w:ascii="仿宋" w:hAnsi="仿宋" w:eastAsia="仿宋"/>
          <w:color w:val="auto"/>
        </w:rPr>
        <w:t>时间内采取的纠正、纠正措施未被接受（或未被证</w:t>
      </w:r>
    </w:p>
    <w:p>
      <w:pPr>
        <w:snapToGrid w:val="0"/>
        <w:spacing w:line="420" w:lineRule="exact"/>
        <w:ind w:firstLine="1260" w:firstLineChars="600"/>
        <w:jc w:val="left"/>
        <w:rPr>
          <w:rFonts w:ascii="仿宋" w:hAnsi="仿宋" w:eastAsia="仿宋"/>
          <w:color w:val="auto"/>
        </w:rPr>
      </w:pPr>
      <w:r>
        <w:rPr>
          <w:rFonts w:ascii="仿宋" w:hAnsi="仿宋" w:eastAsia="仿宋"/>
          <w:color w:val="auto"/>
        </w:rPr>
        <w:t>实有效）；</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rPr>
        <w:t>2</w:t>
      </w:r>
      <w:r>
        <w:rPr>
          <w:rFonts w:ascii="仿宋" w:hAnsi="仿宋" w:eastAsia="仿宋"/>
          <w:color w:val="auto"/>
        </w:rPr>
        <w:t>、</w:t>
      </w:r>
      <w:r>
        <w:rPr>
          <w:rFonts w:ascii="仿宋" w:hAnsi="仿宋" w:eastAsia="仿宋"/>
          <w:color w:val="auto"/>
          <w:kern w:val="0"/>
          <w:lang w:val="zh-CN"/>
        </w:rPr>
        <w:t>获证的管理体系持续地或严重地不满足认证要求，包括对管理体系有效性的要求；</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3</w:t>
      </w:r>
      <w:r>
        <w:rPr>
          <w:rFonts w:ascii="仿宋" w:hAnsi="仿宋" w:eastAsia="仿宋"/>
          <w:color w:val="auto"/>
          <w:kern w:val="0"/>
          <w:lang w:val="zh-CN"/>
        </w:rPr>
        <w:t>、获证客户不能按合同和相关要求接受监督或再认证审核；</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4</w:t>
      </w:r>
      <w:r>
        <w:rPr>
          <w:rFonts w:ascii="仿宋" w:hAnsi="仿宋" w:eastAsia="仿宋"/>
          <w:color w:val="auto"/>
          <w:kern w:val="0"/>
          <w:lang w:val="zh-CN"/>
        </w:rPr>
        <w:t>、未按《管理体系认证证书和标志管理规定》要求使用</w:t>
      </w:r>
      <w:r>
        <w:rPr>
          <w:rFonts w:hint="eastAsia" w:ascii="仿宋" w:hAnsi="仿宋" w:eastAsia="仿宋"/>
          <w:color w:val="auto"/>
          <w:kern w:val="0"/>
          <w:lang w:val="zh-CN"/>
        </w:rPr>
        <w:t>ZBCC</w:t>
      </w:r>
      <w:r>
        <w:rPr>
          <w:rFonts w:ascii="仿宋" w:hAnsi="仿宋" w:eastAsia="仿宋"/>
          <w:color w:val="auto"/>
          <w:kern w:val="0"/>
          <w:lang w:val="zh-CN"/>
        </w:rPr>
        <w:t>签发的管理体系认证证书和认证</w:t>
      </w:r>
    </w:p>
    <w:p>
      <w:pPr>
        <w:snapToGrid w:val="0"/>
        <w:spacing w:line="420" w:lineRule="exact"/>
        <w:ind w:firstLine="1260" w:firstLineChars="600"/>
        <w:jc w:val="left"/>
        <w:rPr>
          <w:rFonts w:ascii="仿宋" w:hAnsi="仿宋" w:eastAsia="仿宋"/>
          <w:color w:val="auto"/>
          <w:kern w:val="0"/>
          <w:lang w:val="zh-CN"/>
        </w:rPr>
      </w:pPr>
      <w:r>
        <w:rPr>
          <w:rFonts w:ascii="仿宋" w:hAnsi="仿宋" w:eastAsia="仿宋"/>
          <w:color w:val="auto"/>
          <w:kern w:val="0"/>
          <w:lang w:val="zh-CN"/>
        </w:rPr>
        <w:t>标志；</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5、</w:t>
      </w:r>
      <w:r>
        <w:rPr>
          <w:rFonts w:ascii="仿宋" w:hAnsi="仿宋" w:eastAsia="仿宋"/>
          <w:color w:val="auto"/>
          <w:kern w:val="0"/>
          <w:lang w:val="zh-CN"/>
        </w:rPr>
        <w:t>管理体系发生重大变更已不满足原认证覆盖范围要求，未及时通知</w:t>
      </w:r>
      <w:r>
        <w:rPr>
          <w:rFonts w:hint="eastAsia" w:ascii="仿宋" w:hAnsi="仿宋" w:eastAsia="仿宋"/>
          <w:color w:val="auto"/>
          <w:kern w:val="0"/>
          <w:lang w:val="zh-CN"/>
        </w:rPr>
        <w:t>ZBCC</w:t>
      </w:r>
      <w:r>
        <w:rPr>
          <w:rFonts w:ascii="仿宋" w:hAnsi="仿宋" w:eastAsia="仿宋"/>
          <w:color w:val="auto"/>
          <w:kern w:val="0"/>
          <w:lang w:val="zh-CN"/>
        </w:rPr>
        <w:t>得到妥善处理；</w:t>
      </w:r>
    </w:p>
    <w:p>
      <w:pPr>
        <w:snapToGrid w:val="0"/>
        <w:spacing w:line="420" w:lineRule="exact"/>
        <w:ind w:firstLine="945" w:firstLineChars="450"/>
        <w:jc w:val="left"/>
        <w:rPr>
          <w:rFonts w:ascii="仿宋" w:hAnsi="仿宋" w:eastAsia="仿宋"/>
          <w:color w:val="auto"/>
          <w:kern w:val="0"/>
        </w:rPr>
      </w:pPr>
      <w:r>
        <w:rPr>
          <w:rFonts w:hint="eastAsia" w:ascii="仿宋" w:hAnsi="仿宋" w:eastAsia="仿宋"/>
          <w:color w:val="auto"/>
          <w:kern w:val="0"/>
          <w:lang w:val="zh-CN"/>
        </w:rPr>
        <w:t>6、</w:t>
      </w:r>
      <w:r>
        <w:rPr>
          <w:rFonts w:ascii="仿宋" w:hAnsi="仿宋" w:eastAsia="仿宋"/>
          <w:color w:val="auto"/>
          <w:kern w:val="0"/>
          <w:lang w:val="zh-CN"/>
        </w:rPr>
        <w:t>发生影响产品质量/环境绩效/职业健康安全绩效的重大事故</w:t>
      </w:r>
      <w:r>
        <w:rPr>
          <w:rFonts w:hint="eastAsia" w:ascii="仿宋" w:hAnsi="仿宋" w:eastAsia="仿宋"/>
          <w:color w:val="auto"/>
          <w:kern w:val="0"/>
        </w:rPr>
        <w:t>/其他导致监管机构介入的严重</w:t>
      </w:r>
    </w:p>
    <w:p>
      <w:pPr>
        <w:snapToGrid w:val="0"/>
        <w:spacing w:line="420" w:lineRule="exact"/>
        <w:ind w:firstLine="1155" w:firstLineChars="550"/>
        <w:jc w:val="left"/>
        <w:rPr>
          <w:rFonts w:ascii="仿宋" w:hAnsi="仿宋" w:eastAsia="仿宋"/>
          <w:color w:val="auto"/>
          <w:kern w:val="0"/>
        </w:rPr>
      </w:pPr>
      <w:r>
        <w:rPr>
          <w:rFonts w:hint="eastAsia" w:ascii="仿宋" w:hAnsi="仿宋" w:eastAsia="仿宋"/>
          <w:color w:val="auto"/>
          <w:kern w:val="0"/>
        </w:rPr>
        <w:t>事件或违法的情况</w:t>
      </w:r>
      <w:r>
        <w:rPr>
          <w:rFonts w:ascii="仿宋" w:hAnsi="仿宋" w:eastAsia="仿宋"/>
          <w:color w:val="auto"/>
          <w:kern w:val="0"/>
          <w:lang w:val="zh-CN"/>
        </w:rPr>
        <w:t>，或国家行业监察发现重大问题；</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7</w:t>
      </w:r>
      <w:r>
        <w:rPr>
          <w:rFonts w:ascii="仿宋" w:hAnsi="仿宋" w:eastAsia="仿宋"/>
          <w:color w:val="auto"/>
          <w:kern w:val="0"/>
          <w:lang w:val="zh-CN"/>
        </w:rPr>
        <w:t>、特殊行业，在特定时期国家有要求予以暂停的，证明材料须附国家有关要求的文件；</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8</w:t>
      </w:r>
      <w:r>
        <w:rPr>
          <w:rFonts w:ascii="仿宋" w:hAnsi="仿宋" w:eastAsia="仿宋"/>
          <w:color w:val="auto"/>
          <w:kern w:val="0"/>
          <w:lang w:val="zh-CN"/>
        </w:rPr>
        <w:t>、未按本合同规定及时支付有关认证费用；</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9</w:t>
      </w:r>
      <w:r>
        <w:rPr>
          <w:rFonts w:ascii="仿宋" w:hAnsi="仿宋" w:eastAsia="仿宋"/>
          <w:color w:val="auto"/>
          <w:kern w:val="0"/>
          <w:lang w:val="zh-CN"/>
        </w:rPr>
        <w:t>、对其的投诉或任何其它信息证实表明获证客户不再符合认证的相关规定要求；违反与乙方</w:t>
      </w:r>
    </w:p>
    <w:p>
      <w:pPr>
        <w:snapToGrid w:val="0"/>
        <w:spacing w:line="420" w:lineRule="exact"/>
        <w:ind w:firstLine="1260" w:firstLineChars="600"/>
        <w:jc w:val="left"/>
        <w:rPr>
          <w:rFonts w:hint="eastAsia" w:ascii="仿宋" w:hAnsi="仿宋" w:eastAsia="仿宋"/>
          <w:color w:val="auto"/>
          <w:kern w:val="0"/>
          <w:lang w:val="zh-CN"/>
        </w:rPr>
      </w:pPr>
      <w:r>
        <w:rPr>
          <w:rFonts w:ascii="仿宋" w:hAnsi="仿宋" w:eastAsia="仿宋"/>
          <w:color w:val="auto"/>
          <w:kern w:val="0"/>
          <w:lang w:val="zh-CN"/>
        </w:rPr>
        <w:t>的合同及其协议的规定；</w:t>
      </w:r>
    </w:p>
    <w:p>
      <w:pPr>
        <w:snapToGrid w:val="0"/>
        <w:spacing w:line="420" w:lineRule="exact"/>
        <w:ind w:firstLine="945" w:firstLineChars="450"/>
        <w:jc w:val="left"/>
        <w:rPr>
          <w:rFonts w:ascii="仿宋" w:hAnsi="仿宋" w:eastAsia="仿宋"/>
          <w:color w:val="auto"/>
        </w:rPr>
      </w:pPr>
      <w:r>
        <w:rPr>
          <w:rFonts w:hint="eastAsia" w:ascii="仿宋" w:hAnsi="仿宋" w:eastAsia="仿宋"/>
          <w:color w:val="auto"/>
          <w:kern w:val="0"/>
          <w:lang w:val="zh-CN"/>
        </w:rPr>
        <w:t>10、</w:t>
      </w:r>
      <w:r>
        <w:rPr>
          <w:rFonts w:ascii="仿宋" w:hAnsi="仿宋" w:eastAsia="仿宋"/>
          <w:color w:val="auto"/>
          <w:kern w:val="0"/>
          <w:lang w:val="zh-CN"/>
        </w:rPr>
        <w:t>甲方主动请求暂停；</w:t>
      </w:r>
    </w:p>
    <w:p>
      <w:pPr>
        <w:snapToGrid w:val="0"/>
        <w:spacing w:line="420" w:lineRule="exact"/>
        <w:ind w:firstLine="945" w:firstLineChars="450"/>
        <w:jc w:val="left"/>
        <w:rPr>
          <w:rFonts w:ascii="仿宋" w:hAnsi="仿宋" w:eastAsia="仿宋"/>
          <w:color w:val="auto"/>
        </w:rPr>
      </w:pPr>
      <w:r>
        <w:rPr>
          <w:rFonts w:ascii="仿宋" w:hAnsi="仿宋" w:eastAsia="仿宋"/>
          <w:color w:val="auto"/>
          <w:kern w:val="0"/>
        </w:rPr>
        <w:t>11、</w:t>
      </w:r>
      <w:r>
        <w:rPr>
          <w:rFonts w:ascii="仿宋" w:hAnsi="仿宋" w:eastAsia="仿宋"/>
          <w:color w:val="auto"/>
          <w:kern w:val="0"/>
          <w:lang w:val="zh-CN"/>
        </w:rPr>
        <w:t>其他不满足</w:t>
      </w:r>
      <w:r>
        <w:rPr>
          <w:rFonts w:hint="eastAsia" w:ascii="仿宋" w:hAnsi="仿宋" w:eastAsia="仿宋"/>
          <w:color w:val="auto"/>
          <w:kern w:val="0"/>
          <w:lang w:val="zh-CN"/>
        </w:rPr>
        <w:t>ZBCC</w:t>
      </w:r>
      <w:r>
        <w:rPr>
          <w:rFonts w:ascii="仿宋" w:hAnsi="仿宋" w:eastAsia="仿宋"/>
          <w:color w:val="auto"/>
          <w:kern w:val="0"/>
          <w:lang w:val="zh-CN"/>
        </w:rPr>
        <w:t>认证要求的情况。</w:t>
      </w:r>
    </w:p>
    <w:p>
      <w:pPr>
        <w:adjustRightInd w:val="0"/>
        <w:snapToGrid w:val="0"/>
        <w:spacing w:line="420" w:lineRule="exact"/>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六</w:t>
      </w:r>
      <w:r>
        <w:rPr>
          <w:rFonts w:ascii="仿宋" w:hAnsi="仿宋" w:eastAsia="仿宋"/>
          <w:color w:val="auto"/>
        </w:rPr>
        <w:t>条 甲方出现下列情况之一者，乙方将撤销其认证/注册资格，甲方应将原证书及副本交回乙方：</w:t>
      </w:r>
    </w:p>
    <w:p>
      <w:pPr>
        <w:snapToGrid w:val="0"/>
        <w:spacing w:line="420" w:lineRule="exact"/>
        <w:ind w:firstLine="945" w:firstLineChars="450"/>
        <w:jc w:val="left"/>
        <w:rPr>
          <w:rFonts w:ascii="仿宋" w:hAnsi="仿宋" w:eastAsia="仿宋"/>
          <w:color w:val="auto"/>
          <w:kern w:val="0"/>
          <w:lang w:val="zh-CN"/>
        </w:rPr>
      </w:pPr>
      <w:r>
        <w:rPr>
          <w:rFonts w:ascii="仿宋" w:hAnsi="仿宋" w:eastAsia="仿宋"/>
          <w:color w:val="auto"/>
          <w:kern w:val="0"/>
        </w:rPr>
        <w:t>1、</w:t>
      </w:r>
      <w:r>
        <w:rPr>
          <w:rFonts w:ascii="仿宋" w:hAnsi="仿宋" w:eastAsia="仿宋"/>
          <w:color w:val="auto"/>
          <w:kern w:val="0"/>
          <w:lang w:val="zh-CN"/>
        </w:rPr>
        <w:t>破产、严重违反国家法规、或认证的有关规定；</w:t>
      </w:r>
    </w:p>
    <w:p>
      <w:pPr>
        <w:snapToGrid w:val="0"/>
        <w:spacing w:line="420" w:lineRule="exact"/>
        <w:ind w:firstLine="945" w:firstLineChars="450"/>
        <w:jc w:val="left"/>
        <w:rPr>
          <w:rFonts w:hint="eastAsia" w:ascii="仿宋" w:hAnsi="仿宋" w:eastAsia="仿宋"/>
          <w:color w:val="auto"/>
          <w:kern w:val="0"/>
          <w:lang w:val="zh-CN"/>
        </w:rPr>
      </w:pPr>
      <w:r>
        <w:rPr>
          <w:rFonts w:hint="eastAsia" w:ascii="仿宋" w:hAnsi="仿宋" w:eastAsia="仿宋"/>
          <w:color w:val="auto"/>
          <w:kern w:val="0"/>
          <w:lang w:val="zh-CN"/>
        </w:rPr>
        <w:t>2</w:t>
      </w:r>
      <w:r>
        <w:rPr>
          <w:rFonts w:ascii="仿宋" w:hAnsi="仿宋" w:eastAsia="仿宋"/>
          <w:color w:val="auto"/>
          <w:kern w:val="0"/>
          <w:lang w:val="zh-CN"/>
        </w:rPr>
        <w:t>、甲方未能在认证机构规定的时限内解决造成暂停的问题；</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3、</w:t>
      </w:r>
      <w:r>
        <w:rPr>
          <w:rFonts w:ascii="仿宋" w:hAnsi="仿宋" w:eastAsia="仿宋"/>
          <w:color w:val="auto"/>
          <w:kern w:val="0"/>
          <w:lang w:val="zh-CN"/>
        </w:rPr>
        <w:t>因不能按时接受监督审核被暂停的情况，认证证书暂停使用的期限超过《暂停认证证书通</w:t>
      </w:r>
    </w:p>
    <w:p>
      <w:pPr>
        <w:snapToGrid w:val="0"/>
        <w:spacing w:line="420" w:lineRule="exact"/>
        <w:ind w:firstLine="1260" w:firstLineChars="600"/>
        <w:jc w:val="left"/>
        <w:rPr>
          <w:rFonts w:hint="eastAsia" w:ascii="仿宋" w:hAnsi="仿宋" w:eastAsia="仿宋"/>
          <w:color w:val="auto"/>
          <w:kern w:val="0"/>
          <w:lang w:val="zh-CN"/>
        </w:rPr>
      </w:pPr>
      <w:r>
        <w:rPr>
          <w:rFonts w:ascii="仿宋" w:hAnsi="仿宋" w:eastAsia="仿宋"/>
          <w:color w:val="auto"/>
          <w:kern w:val="0"/>
          <w:lang w:val="zh-CN"/>
        </w:rPr>
        <w:t>知书》中规定的暂停期限；</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4、</w:t>
      </w:r>
      <w:r>
        <w:rPr>
          <w:rFonts w:ascii="仿宋" w:hAnsi="仿宋" w:eastAsia="仿宋"/>
          <w:color w:val="auto"/>
          <w:kern w:val="0"/>
          <w:lang w:val="zh-CN"/>
        </w:rPr>
        <w:t>发生影响质量、环境、职业安全的重大事故，造成严重不良社会影响的，经调查（审核）</w:t>
      </w:r>
    </w:p>
    <w:p>
      <w:pPr>
        <w:snapToGrid w:val="0"/>
        <w:spacing w:line="420" w:lineRule="exact"/>
        <w:ind w:firstLine="1260" w:firstLineChars="600"/>
        <w:jc w:val="left"/>
        <w:rPr>
          <w:rFonts w:ascii="仿宋" w:hAnsi="仿宋" w:eastAsia="仿宋"/>
          <w:color w:val="auto"/>
          <w:kern w:val="0"/>
          <w:lang w:val="zh-CN"/>
        </w:rPr>
      </w:pPr>
      <w:r>
        <w:rPr>
          <w:rFonts w:ascii="仿宋" w:hAnsi="仿宋" w:eastAsia="仿宋"/>
          <w:color w:val="auto"/>
          <w:kern w:val="0"/>
          <w:lang w:val="zh-CN"/>
        </w:rPr>
        <w:t>造成事故的原因是因为体系存在严重缺陷或获证客户未能在暂停期内就重大事故的原因进</w:t>
      </w:r>
    </w:p>
    <w:p>
      <w:pPr>
        <w:snapToGrid w:val="0"/>
        <w:spacing w:line="420" w:lineRule="exact"/>
        <w:ind w:firstLine="1260" w:firstLineChars="600"/>
        <w:jc w:val="left"/>
        <w:rPr>
          <w:rFonts w:ascii="仿宋" w:hAnsi="仿宋" w:eastAsia="仿宋"/>
          <w:color w:val="auto"/>
          <w:kern w:val="0"/>
          <w:lang w:val="zh-CN"/>
        </w:rPr>
      </w:pPr>
      <w:r>
        <w:rPr>
          <w:rFonts w:ascii="仿宋" w:hAnsi="仿宋" w:eastAsia="仿宋"/>
          <w:color w:val="auto"/>
          <w:kern w:val="0"/>
          <w:lang w:val="zh-CN"/>
        </w:rPr>
        <w:t>行调查并采取有效的纠正措施；</w:t>
      </w:r>
    </w:p>
    <w:p>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5</w:t>
      </w:r>
      <w:r>
        <w:rPr>
          <w:rFonts w:ascii="仿宋" w:hAnsi="仿宋" w:eastAsia="仿宋"/>
          <w:color w:val="auto"/>
          <w:kern w:val="0"/>
          <w:lang w:val="zh-CN"/>
        </w:rPr>
        <w:t>、甲方主动要求撤销证书；</w:t>
      </w:r>
    </w:p>
    <w:p>
      <w:pPr>
        <w:snapToGrid w:val="0"/>
        <w:spacing w:line="420" w:lineRule="exact"/>
        <w:ind w:firstLine="945" w:firstLineChars="450"/>
        <w:jc w:val="left"/>
        <w:rPr>
          <w:rFonts w:ascii="仿宋" w:hAnsi="仿宋" w:eastAsia="仿宋"/>
          <w:color w:val="auto"/>
        </w:rPr>
      </w:pPr>
      <w:r>
        <w:rPr>
          <w:rFonts w:hint="eastAsia" w:ascii="仿宋" w:hAnsi="仿宋" w:eastAsia="仿宋"/>
          <w:color w:val="auto"/>
          <w:kern w:val="0"/>
          <w:lang w:val="zh-CN"/>
        </w:rPr>
        <w:t>6</w:t>
      </w:r>
      <w:r>
        <w:rPr>
          <w:rFonts w:ascii="仿宋" w:hAnsi="仿宋" w:eastAsia="仿宋"/>
          <w:color w:val="auto"/>
          <w:kern w:val="0"/>
          <w:lang w:val="zh-CN"/>
        </w:rPr>
        <w:t>、</w:t>
      </w:r>
      <w:r>
        <w:rPr>
          <w:rFonts w:ascii="仿宋" w:hAnsi="仿宋" w:eastAsia="仿宋"/>
          <w:color w:val="auto"/>
        </w:rPr>
        <w:t>超过规定时限3个月仍未接受且实施监督审核；</w:t>
      </w:r>
    </w:p>
    <w:p>
      <w:pPr>
        <w:snapToGrid w:val="0"/>
        <w:spacing w:line="420" w:lineRule="exact"/>
        <w:ind w:firstLine="945" w:firstLineChars="450"/>
        <w:jc w:val="left"/>
        <w:rPr>
          <w:rFonts w:ascii="仿宋" w:hAnsi="仿宋" w:eastAsia="仿宋"/>
          <w:color w:val="auto"/>
          <w:kern w:val="0"/>
          <w:lang w:val="zh-CN"/>
        </w:rPr>
      </w:pPr>
      <w:r>
        <w:rPr>
          <w:rFonts w:ascii="仿宋" w:hAnsi="仿宋" w:eastAsia="仿宋"/>
          <w:color w:val="auto"/>
        </w:rPr>
        <w:t>7、</w:t>
      </w:r>
      <w:r>
        <w:rPr>
          <w:rFonts w:ascii="仿宋" w:hAnsi="仿宋" w:eastAsia="仿宋"/>
          <w:color w:val="auto"/>
          <w:kern w:val="0"/>
          <w:lang w:val="zh-CN"/>
        </w:rPr>
        <w:t>其他重大影响管理体系有效性的情况，甲方应在其提供的证明材料中予以具体说明。</w:t>
      </w:r>
    </w:p>
    <w:p>
      <w:pPr>
        <w:adjustRightInd w:val="0"/>
        <w:snapToGrid w:val="0"/>
        <w:spacing w:line="420" w:lineRule="exact"/>
        <w:ind w:left="945" w:hanging="945" w:hangingChars="450"/>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七</w:t>
      </w:r>
      <w:r>
        <w:rPr>
          <w:rFonts w:ascii="仿宋" w:hAnsi="仿宋" w:eastAsia="仿宋"/>
          <w:color w:val="auto"/>
        </w:rPr>
        <w:t xml:space="preserve">条 </w:t>
      </w:r>
      <w:r>
        <w:rPr>
          <w:rFonts w:ascii="仿宋" w:hAnsi="仿宋" w:eastAsia="仿宋"/>
          <w:color w:val="auto"/>
          <w:spacing w:val="-2"/>
        </w:rPr>
        <w:t>乙方未经甲方同意，不得将甲方经营、生产状况及技术信息以任何方式泄漏给第三方，但下列情况除外：</w:t>
      </w:r>
      <w:r>
        <w:rPr>
          <w:rFonts w:ascii="仿宋" w:hAnsi="仿宋" w:eastAsia="仿宋"/>
          <w:color w:val="auto"/>
        </w:rPr>
        <w:t>甲方已公开的资料；国家法律、法规要求时。</w:t>
      </w:r>
    </w:p>
    <w:p>
      <w:pPr>
        <w:adjustRightInd w:val="0"/>
        <w:snapToGrid w:val="0"/>
        <w:spacing w:line="420" w:lineRule="exact"/>
        <w:ind w:left="1048" w:leftChars="-1" w:hanging="1050" w:hangingChars="500"/>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八</w:t>
      </w:r>
      <w:r>
        <w:rPr>
          <w:rFonts w:ascii="仿宋" w:hAnsi="仿宋" w:eastAsia="仿宋"/>
          <w:color w:val="auto"/>
        </w:rPr>
        <w:t>条 合同双方有权通知另一方变更或解除合同，变更或解除本合同的通知或协议，应当采取书面形式提前通知对方。</w:t>
      </w:r>
    </w:p>
    <w:p>
      <w:pPr>
        <w:adjustRightInd w:val="0"/>
        <w:snapToGrid w:val="0"/>
        <w:spacing w:line="420" w:lineRule="exact"/>
        <w:ind w:left="943" w:leftChars="-1" w:hanging="945" w:hangingChars="450"/>
        <w:jc w:val="left"/>
        <w:rPr>
          <w:rFonts w:ascii="仿宋" w:hAnsi="仿宋" w:eastAsia="仿宋"/>
          <w:color w:val="auto"/>
        </w:rPr>
      </w:pPr>
      <w:r>
        <w:rPr>
          <w:rFonts w:ascii="仿宋" w:hAnsi="仿宋" w:eastAsia="仿宋"/>
          <w:color w:val="auto"/>
        </w:rPr>
        <w:t>第</w:t>
      </w:r>
      <w:r>
        <w:rPr>
          <w:rFonts w:hint="eastAsia" w:ascii="仿宋" w:hAnsi="仿宋" w:eastAsia="仿宋"/>
          <w:color w:val="auto"/>
          <w:lang w:val="en-US" w:eastAsia="zh-CN"/>
        </w:rPr>
        <w:t>十九</w:t>
      </w:r>
      <w:r>
        <w:rPr>
          <w:rFonts w:ascii="仿宋" w:hAnsi="仿宋" w:eastAsia="仿宋"/>
          <w:color w:val="auto"/>
        </w:rPr>
        <w:t>条 在合同有效期内，由于甲方或乙方责任使另一方利益受损失的，责任方应承担赔偿，赔偿的实</w:t>
      </w:r>
    </w:p>
    <w:p>
      <w:pPr>
        <w:adjustRightInd w:val="0"/>
        <w:snapToGrid w:val="0"/>
        <w:spacing w:line="420" w:lineRule="exact"/>
        <w:ind w:left="838" w:leftChars="399" w:firstLine="210" w:firstLineChars="100"/>
        <w:jc w:val="left"/>
        <w:rPr>
          <w:rFonts w:ascii="仿宋" w:hAnsi="仿宋" w:eastAsia="仿宋"/>
          <w:color w:val="auto"/>
        </w:rPr>
      </w:pPr>
      <w:r>
        <w:rPr>
          <w:rFonts w:ascii="仿宋" w:hAnsi="仿宋" w:eastAsia="仿宋"/>
          <w:color w:val="auto"/>
        </w:rPr>
        <w:t>施由协商解决。</w:t>
      </w:r>
    </w:p>
    <w:p>
      <w:pPr>
        <w:adjustRightInd w:val="0"/>
        <w:snapToGrid w:val="0"/>
        <w:spacing w:line="420" w:lineRule="exact"/>
        <w:ind w:left="943" w:leftChars="-1" w:hanging="945" w:hangingChars="450"/>
        <w:jc w:val="left"/>
        <w:rPr>
          <w:rFonts w:ascii="仿宋" w:hAnsi="仿宋" w:eastAsia="仿宋"/>
          <w:color w:val="auto"/>
        </w:rPr>
      </w:pPr>
      <w:r>
        <w:rPr>
          <w:rFonts w:hint="eastAsia" w:ascii="仿宋" w:hAnsi="仿宋" w:eastAsia="仿宋"/>
          <w:color w:val="auto"/>
        </w:rPr>
        <w:t>第二十条 在合同有效期内，甲方如受到诸如飓风、海啸和地震等自然灾害的影响，或其他可能对甲方</w:t>
      </w:r>
    </w:p>
    <w:p>
      <w:pPr>
        <w:adjustRightInd w:val="0"/>
        <w:snapToGrid w:val="0"/>
        <w:spacing w:line="420" w:lineRule="exact"/>
        <w:ind w:left="838" w:leftChars="399" w:firstLine="420" w:firstLineChars="200"/>
        <w:jc w:val="left"/>
        <w:rPr>
          <w:rFonts w:ascii="仿宋" w:hAnsi="仿宋" w:eastAsia="仿宋"/>
          <w:color w:val="auto"/>
        </w:rPr>
      </w:pPr>
      <w:r>
        <w:rPr>
          <w:rFonts w:hint="eastAsia" w:ascii="仿宋" w:hAnsi="仿宋" w:eastAsia="仿宋"/>
          <w:color w:val="auto"/>
        </w:rPr>
        <w:t>产生潜在破坏性影响的情况包括但不限于恐怖主义威胁、恶意的电脑黑客入侵、地缘政治</w:t>
      </w:r>
    </w:p>
    <w:p>
      <w:pPr>
        <w:adjustRightInd w:val="0"/>
        <w:snapToGrid w:val="0"/>
        <w:spacing w:line="420" w:lineRule="exact"/>
        <w:ind w:left="838" w:leftChars="399" w:firstLine="420" w:firstLineChars="200"/>
        <w:jc w:val="left"/>
        <w:rPr>
          <w:rFonts w:hint="eastAsia" w:ascii="仿宋" w:hAnsi="仿宋" w:eastAsia="仿宋"/>
          <w:color w:val="auto"/>
        </w:rPr>
      </w:pPr>
      <w:r>
        <w:rPr>
          <w:rFonts w:hint="eastAsia" w:ascii="仿宋" w:hAnsi="仿宋" w:eastAsia="仿宋"/>
          <w:color w:val="auto"/>
        </w:rPr>
        <w:t>紧张局势、大规模流行疾病和严重的罢工，乙方将按</w:t>
      </w:r>
      <w:r>
        <w:rPr>
          <w:rFonts w:hint="eastAsia" w:ascii="仿宋" w:hAnsi="仿宋" w:eastAsia="仿宋"/>
          <w:color w:val="auto"/>
          <w:lang w:val="en-US" w:eastAsia="zh-CN"/>
        </w:rPr>
        <w:t>内部相关</w:t>
      </w:r>
      <w:r>
        <w:rPr>
          <w:rFonts w:hint="eastAsia" w:ascii="仿宋" w:hAnsi="仿宋" w:eastAsia="仿宋"/>
          <w:color w:val="auto"/>
        </w:rPr>
        <w:t>要求执行。</w:t>
      </w:r>
    </w:p>
    <w:p>
      <w:pPr>
        <w:adjustRightInd w:val="0"/>
        <w:snapToGrid w:val="0"/>
        <w:spacing w:line="420" w:lineRule="exact"/>
        <w:ind w:left="1153" w:leftChars="-1" w:hanging="1155" w:hangingChars="550"/>
        <w:jc w:val="left"/>
        <w:rPr>
          <w:rFonts w:ascii="仿宋" w:hAnsi="仿宋" w:eastAsia="仿宋"/>
          <w:color w:val="auto"/>
        </w:rPr>
      </w:pPr>
      <w:r>
        <w:rPr>
          <w:rFonts w:ascii="仿宋" w:hAnsi="仿宋" w:eastAsia="仿宋"/>
          <w:color w:val="auto"/>
        </w:rPr>
        <w:t>第</w:t>
      </w:r>
      <w:r>
        <w:rPr>
          <w:rFonts w:hint="eastAsia" w:ascii="仿宋" w:hAnsi="仿宋" w:eastAsia="仿宋"/>
          <w:color w:val="auto"/>
        </w:rPr>
        <w:t>二</w:t>
      </w:r>
      <w:r>
        <w:rPr>
          <w:rFonts w:ascii="仿宋" w:hAnsi="仿宋" w:eastAsia="仿宋"/>
          <w:color w:val="auto"/>
        </w:rPr>
        <w:t>十</w:t>
      </w:r>
      <w:r>
        <w:rPr>
          <w:rFonts w:hint="eastAsia" w:ascii="仿宋" w:hAnsi="仿宋" w:eastAsia="仿宋"/>
          <w:color w:val="auto"/>
          <w:lang w:val="en-US" w:eastAsia="zh-CN"/>
        </w:rPr>
        <w:t>一</w:t>
      </w:r>
      <w:r>
        <w:rPr>
          <w:rFonts w:ascii="仿宋" w:hAnsi="仿宋" w:eastAsia="仿宋"/>
          <w:color w:val="auto"/>
        </w:rPr>
        <w:t>条 乙方将通过现场审核收集代表性客观证据进行判定，如因甲方未按管理体系运行或因甲方过失造成自身的损失乙方不予负责。</w:t>
      </w:r>
    </w:p>
    <w:p>
      <w:pPr>
        <w:adjustRightInd w:val="0"/>
        <w:snapToGrid w:val="0"/>
        <w:spacing w:line="420" w:lineRule="exact"/>
        <w:ind w:left="1153" w:leftChars="-1" w:hanging="1155" w:hangingChars="550"/>
        <w:jc w:val="left"/>
        <w:rPr>
          <w:rFonts w:ascii="仿宋" w:hAnsi="仿宋" w:eastAsia="仿宋"/>
          <w:color w:val="auto"/>
        </w:rPr>
      </w:pPr>
      <w:r>
        <w:rPr>
          <w:rFonts w:ascii="仿宋" w:hAnsi="仿宋" w:eastAsia="仿宋"/>
          <w:color w:val="auto"/>
        </w:rPr>
        <w:t>第二十</w:t>
      </w:r>
      <w:r>
        <w:rPr>
          <w:rFonts w:hint="eastAsia" w:ascii="仿宋" w:hAnsi="仿宋" w:eastAsia="仿宋"/>
          <w:color w:val="auto"/>
          <w:lang w:val="en-US" w:eastAsia="zh-CN"/>
        </w:rPr>
        <w:t>二</w:t>
      </w:r>
      <w:r>
        <w:rPr>
          <w:rFonts w:ascii="仿宋" w:hAnsi="仿宋" w:eastAsia="仿宋"/>
          <w:color w:val="auto"/>
        </w:rPr>
        <w:t>条 在本合同实施中发生的争议，应本着友好协商的原则加以解决，若协商不成，可通过以下途径解决：</w:t>
      </w:r>
    </w:p>
    <w:p>
      <w:pPr>
        <w:snapToGrid w:val="0"/>
        <w:spacing w:line="420" w:lineRule="exact"/>
        <w:ind w:firstLine="1155" w:firstLineChars="550"/>
        <w:jc w:val="left"/>
        <w:rPr>
          <w:rFonts w:ascii="仿宋" w:hAnsi="仿宋" w:eastAsia="仿宋"/>
          <w:color w:val="auto"/>
        </w:rPr>
      </w:pPr>
      <w:r>
        <w:rPr>
          <w:rFonts w:ascii="仿宋" w:hAnsi="仿宋" w:eastAsia="仿宋"/>
          <w:color w:val="auto"/>
        </w:rPr>
        <w:t>1、向乙方所在地人民法院提起诉讼；</w:t>
      </w:r>
      <w:r>
        <w:rPr>
          <w:rFonts w:hint="eastAsia" w:ascii="仿宋" w:hAnsi="仿宋" w:eastAsia="仿宋"/>
          <w:color w:val="auto"/>
          <w:lang w:val="en-US" w:eastAsia="zh-CN"/>
        </w:rPr>
        <w:t xml:space="preserve">  </w:t>
      </w:r>
      <w:r>
        <w:rPr>
          <w:rFonts w:ascii="仿宋" w:hAnsi="仿宋" w:eastAsia="仿宋"/>
          <w:color w:val="auto"/>
        </w:rPr>
        <w:t>2、向乙方所在地的仲裁委员会提交仲裁。</w:t>
      </w:r>
    </w:p>
    <w:p>
      <w:pPr>
        <w:adjustRightInd w:val="0"/>
        <w:snapToGrid w:val="0"/>
        <w:spacing w:line="420" w:lineRule="exact"/>
        <w:ind w:left="1153" w:leftChars="-1" w:hanging="1155" w:hangingChars="550"/>
        <w:jc w:val="left"/>
        <w:rPr>
          <w:rFonts w:ascii="仿宋" w:hAnsi="仿宋" w:eastAsia="仿宋"/>
          <w:color w:val="auto"/>
        </w:rPr>
      </w:pPr>
      <w:r>
        <w:rPr>
          <w:rFonts w:ascii="仿宋" w:hAnsi="仿宋" w:eastAsia="仿宋"/>
          <w:color w:val="auto"/>
        </w:rPr>
        <w:t>第二十</w:t>
      </w:r>
      <w:r>
        <w:rPr>
          <w:rFonts w:hint="eastAsia" w:ascii="仿宋" w:hAnsi="仿宋" w:eastAsia="仿宋"/>
          <w:color w:val="auto"/>
          <w:lang w:val="en-US" w:eastAsia="zh-CN"/>
        </w:rPr>
        <w:t>三</w:t>
      </w:r>
      <w:r>
        <w:rPr>
          <w:rFonts w:ascii="仿宋" w:hAnsi="仿宋" w:eastAsia="仿宋"/>
          <w:color w:val="auto"/>
        </w:rPr>
        <w:t>条 本合同自双方签字盖章之日起生效，至证书作废之日失效。证书有效期到期前乙方将为甲方实施再认证，并重新签订认证合同，相关费用以重新报价双方确定。</w:t>
      </w:r>
    </w:p>
    <w:p>
      <w:pPr>
        <w:adjustRightInd w:val="0"/>
        <w:snapToGrid w:val="0"/>
        <w:spacing w:line="420" w:lineRule="exact"/>
        <w:ind w:left="1153" w:leftChars="-1" w:hanging="1155" w:hangingChars="550"/>
        <w:jc w:val="left"/>
        <w:rPr>
          <w:rFonts w:ascii="仿宋" w:hAnsi="仿宋" w:eastAsia="仿宋"/>
          <w:color w:val="auto"/>
        </w:rPr>
      </w:pPr>
      <w:r>
        <w:rPr>
          <w:rFonts w:ascii="仿宋" w:hAnsi="仿宋" w:eastAsia="仿宋"/>
          <w:color w:val="auto"/>
        </w:rPr>
        <w:t>第二十</w:t>
      </w:r>
      <w:r>
        <w:rPr>
          <w:rFonts w:hint="eastAsia" w:ascii="仿宋" w:hAnsi="仿宋" w:eastAsia="仿宋"/>
          <w:color w:val="auto"/>
          <w:lang w:val="en-US" w:eastAsia="zh-CN"/>
        </w:rPr>
        <w:t>四</w:t>
      </w:r>
      <w:r>
        <w:rPr>
          <w:rFonts w:ascii="仿宋" w:hAnsi="仿宋" w:eastAsia="仿宋"/>
          <w:color w:val="auto"/>
        </w:rPr>
        <w:t xml:space="preserve">条 </w:t>
      </w:r>
      <w:r>
        <w:rPr>
          <w:rFonts w:hint="eastAsia" w:ascii="仿宋" w:hAnsi="仿宋" w:eastAsia="仿宋"/>
          <w:color w:val="auto"/>
        </w:rPr>
        <w:t>甲方确认在《认证申请书》中所做的承诺在本合同生效之后仍然有效。甲方确认在《认证申请书》中所作出的自述及提供的资料真实、准确。</w:t>
      </w:r>
    </w:p>
    <w:p>
      <w:pPr>
        <w:adjustRightInd w:val="0"/>
        <w:snapToGrid w:val="0"/>
        <w:spacing w:line="420" w:lineRule="exact"/>
        <w:ind w:left="-2" w:leftChars="-1"/>
        <w:jc w:val="left"/>
        <w:rPr>
          <w:rFonts w:hint="eastAsia" w:ascii="仿宋" w:hAnsi="仿宋" w:eastAsia="仿宋"/>
          <w:color w:val="auto"/>
        </w:rPr>
      </w:pPr>
      <w:r>
        <w:rPr>
          <w:rFonts w:hint="eastAsia" w:ascii="仿宋" w:hAnsi="仿宋" w:eastAsia="仿宋"/>
          <w:color w:val="auto"/>
        </w:rPr>
        <w:t>第二十</w:t>
      </w:r>
      <w:r>
        <w:rPr>
          <w:rFonts w:hint="eastAsia" w:ascii="仿宋" w:hAnsi="仿宋" w:eastAsia="仿宋"/>
          <w:color w:val="auto"/>
          <w:lang w:val="en-US" w:eastAsia="zh-CN"/>
        </w:rPr>
        <w:t>五</w:t>
      </w:r>
      <w:r>
        <w:rPr>
          <w:rFonts w:hint="eastAsia" w:ascii="仿宋" w:hAnsi="仿宋" w:eastAsia="仿宋"/>
          <w:color w:val="auto"/>
        </w:rPr>
        <w:t xml:space="preserve">条 </w:t>
      </w:r>
      <w:r>
        <w:rPr>
          <w:rFonts w:ascii="仿宋" w:hAnsi="仿宋" w:eastAsia="仿宋"/>
          <w:color w:val="auto"/>
        </w:rPr>
        <w:t>本合同未尽事宜，双方同意通过补充件予以规定，补充件与合同具有同等效力。</w:t>
      </w:r>
    </w:p>
    <w:p>
      <w:pPr>
        <w:adjustRightInd w:val="0"/>
        <w:snapToGrid w:val="0"/>
        <w:spacing w:line="420" w:lineRule="exact"/>
        <w:ind w:left="-2" w:leftChars="-1"/>
        <w:jc w:val="left"/>
        <w:rPr>
          <w:rFonts w:ascii="仿宋" w:hAnsi="仿宋" w:eastAsia="仿宋"/>
          <w:color w:val="auto"/>
        </w:rPr>
      </w:pPr>
      <w:r>
        <w:rPr>
          <w:rFonts w:ascii="仿宋" w:hAnsi="仿宋" w:eastAsia="仿宋"/>
          <w:color w:val="auto"/>
        </w:rPr>
        <w:t>第二十</w:t>
      </w:r>
      <w:r>
        <w:rPr>
          <w:rFonts w:hint="eastAsia" w:ascii="仿宋" w:hAnsi="仿宋" w:eastAsia="仿宋"/>
          <w:color w:val="auto"/>
          <w:lang w:val="en-US" w:eastAsia="zh-CN"/>
        </w:rPr>
        <w:t>六</w:t>
      </w:r>
      <w:r>
        <w:rPr>
          <w:rFonts w:ascii="仿宋" w:hAnsi="仿宋" w:eastAsia="仿宋"/>
          <w:color w:val="auto"/>
        </w:rPr>
        <w:t>条 本合同一式二份，甲、乙方各执一份。</w:t>
      </w:r>
    </w:p>
    <w:p>
      <w:pPr>
        <w:adjustRightInd w:val="0"/>
        <w:snapToGrid w:val="0"/>
        <w:spacing w:line="420" w:lineRule="exact"/>
        <w:ind w:left="-2" w:leftChars="-1" w:firstLine="210" w:firstLineChars="100"/>
        <w:jc w:val="left"/>
        <w:rPr>
          <w:rFonts w:hint="eastAsia" w:eastAsia="仿宋_GB2312"/>
          <w:color w:val="auto"/>
          <w:sz w:val="24"/>
          <w:szCs w:val="24"/>
        </w:rPr>
      </w:pPr>
      <w:r>
        <w:rPr>
          <w:rFonts w:hint="eastAsia" w:ascii="仿宋" w:hAnsi="仿宋" w:eastAsia="仿宋"/>
          <w:color w:val="auto"/>
        </w:rPr>
        <w:t>注：甲方从乙方网站（www</w:t>
      </w:r>
      <w:r>
        <w:rPr>
          <w:rFonts w:hint="eastAsia" w:ascii="仿宋" w:hAnsi="仿宋" w:eastAsia="仿宋"/>
          <w:color w:val="auto"/>
          <w:lang w:val="en-US" w:eastAsia="zh-CN"/>
        </w:rPr>
        <w:t>.zbcc-cert</w:t>
      </w:r>
      <w:r>
        <w:rPr>
          <w:rFonts w:hint="eastAsia" w:ascii="仿宋" w:hAnsi="仿宋" w:eastAsia="仿宋"/>
          <w:color w:val="auto"/>
        </w:rPr>
        <w:t>.c</w:t>
      </w:r>
      <w:r>
        <w:rPr>
          <w:rFonts w:hint="eastAsia" w:ascii="仿宋" w:hAnsi="仿宋" w:eastAsia="仿宋"/>
          <w:color w:val="auto"/>
          <w:lang w:val="en-US" w:eastAsia="zh-CN"/>
        </w:rPr>
        <w:t>om</w:t>
      </w:r>
      <w:r>
        <w:rPr>
          <w:rFonts w:hint="eastAsia" w:ascii="仿宋" w:hAnsi="仿宋" w:eastAsia="仿宋"/>
          <w:color w:val="auto"/>
        </w:rPr>
        <w:t>)上获取乙方的公开文件。</w:t>
      </w:r>
    </w:p>
    <w:p>
      <w:pPr>
        <w:adjustRightInd w:val="0"/>
        <w:snapToGrid w:val="0"/>
        <w:spacing w:line="320" w:lineRule="exact"/>
        <w:rPr>
          <w:rFonts w:hint="eastAsia" w:eastAsia="仿宋_GB2312"/>
          <w:color w:val="auto"/>
          <w:sz w:val="24"/>
          <w:szCs w:val="24"/>
        </w:rPr>
      </w:pPr>
    </w:p>
    <w:tbl>
      <w:tblPr>
        <w:tblStyle w:val="20"/>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904" w:type="dxa"/>
            <w:tcBorders>
              <w:tl2br w:val="nil"/>
              <w:tr2bl w:val="nil"/>
            </w:tcBorders>
            <w:noWrap w:val="0"/>
            <w:vAlign w:val="top"/>
          </w:tcPr>
          <w:p>
            <w:pPr>
              <w:spacing w:line="600" w:lineRule="exact"/>
              <w:contextualSpacing/>
              <w:jc w:val="left"/>
              <w:rPr>
                <w:rFonts w:hint="eastAsia"/>
                <w:color w:val="auto"/>
              </w:rPr>
            </w:pPr>
            <w:r>
              <w:rPr>
                <w:b/>
                <w:bCs/>
                <w:color w:val="auto"/>
              </w:rPr>
              <w:t>甲</w:t>
            </w:r>
            <w:r>
              <w:rPr>
                <w:rFonts w:hint="eastAsia"/>
                <w:b/>
                <w:bCs/>
                <w:color w:val="auto"/>
              </w:rPr>
              <w:t>方单位全称</w:t>
            </w:r>
            <w:r>
              <w:rPr>
                <w:rFonts w:hint="eastAsia" w:eastAsia="仿宋_GB2312"/>
                <w:b/>
                <w:bCs/>
                <w:color w:val="auto"/>
                <w:sz w:val="21"/>
                <w:szCs w:val="21"/>
                <w:lang w:eastAsia="zh-CN"/>
              </w:rPr>
              <w:t>（</w:t>
            </w:r>
            <w:r>
              <w:rPr>
                <w:rFonts w:hint="eastAsia" w:eastAsia="仿宋_GB2312"/>
                <w:b/>
                <w:bCs/>
                <w:color w:val="auto"/>
                <w:sz w:val="21"/>
                <w:szCs w:val="21"/>
                <w:lang w:val="en-US" w:eastAsia="zh-CN"/>
              </w:rPr>
              <w:t>盖章</w:t>
            </w:r>
            <w:r>
              <w:rPr>
                <w:rFonts w:hint="eastAsia" w:eastAsia="仿宋_GB2312"/>
                <w:b/>
                <w:bCs/>
                <w:color w:val="auto"/>
                <w:sz w:val="21"/>
                <w:szCs w:val="21"/>
                <w:lang w:eastAsia="zh-CN"/>
              </w:rPr>
              <w:t>）</w:t>
            </w:r>
            <w:r>
              <w:rPr>
                <w:b/>
                <w:bCs/>
                <w:color w:val="auto"/>
              </w:rPr>
              <w:t>：</w:t>
            </w:r>
            <w:r>
              <w:rPr>
                <w:rFonts w:hint="eastAsia"/>
                <w:color w:val="auto"/>
              </w:rPr>
              <w:t xml:space="preserve"> </w:t>
            </w:r>
          </w:p>
          <w:tbl>
            <w:tblPr>
              <w:tblStyle w:val="21"/>
              <w:tblW w:w="488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80" w:type="dxa"/>
                  <w:shd w:val="clear" w:color="auto" w:fill="F1F1F1" w:themeFill="background1" w:themeFillShade="F2"/>
                  <w:vAlign w:val="center"/>
                </w:tcPr>
                <w:p>
                  <w:pPr>
                    <w:pStyle w:val="2"/>
                    <w:rPr>
                      <w:rFonts w:hint="default"/>
                      <w:color w:val="auto"/>
                      <w:lang w:val="en-US" w:eastAsia="zh-CN"/>
                    </w:rPr>
                  </w:pPr>
                </w:p>
              </w:tc>
            </w:tr>
          </w:tbl>
          <w:p>
            <w:pPr>
              <w:pStyle w:val="2"/>
              <w:jc w:val="both"/>
              <w:rPr>
                <w:rFonts w:hint="default" w:hAnsi="宋体"/>
                <w:color w:val="auto"/>
                <w:sz w:val="21"/>
                <w:szCs w:val="21"/>
                <w:lang w:val="en-US"/>
              </w:rPr>
            </w:pPr>
          </w:p>
        </w:tc>
        <w:tc>
          <w:tcPr>
            <w:tcW w:w="4875" w:type="dxa"/>
            <w:tcBorders>
              <w:tl2br w:val="nil"/>
              <w:tr2bl w:val="nil"/>
            </w:tcBorders>
            <w:noWrap w:val="0"/>
            <w:vAlign w:val="top"/>
          </w:tcPr>
          <w:p>
            <w:pPr>
              <w:spacing w:line="600" w:lineRule="exact"/>
              <w:contextualSpacing/>
              <w:jc w:val="left"/>
              <w:rPr>
                <w:color w:val="auto"/>
              </w:rPr>
            </w:pPr>
            <w:r>
              <w:rPr>
                <w:color w:val="auto"/>
              </w:rPr>
              <w:t>乙方：</w:t>
            </w:r>
            <w:r>
              <w:rPr>
                <w:rFonts w:hint="eastAsia"/>
                <w:color w:val="auto"/>
                <w:lang w:val="en-US" w:eastAsia="zh-CN"/>
              </w:rPr>
              <w:t>中博检验认证技术服务（江苏）</w:t>
            </w:r>
            <w:r>
              <w:rPr>
                <w:color w:val="auto"/>
              </w:rPr>
              <w:t>有限公司</w:t>
            </w:r>
          </w:p>
          <w:p>
            <w:pPr>
              <w:pStyle w:val="2"/>
              <w:rPr>
                <w:rFonts w:hint="default" w:eastAsia="仿宋_GB2312"/>
                <w:color w:val="auto"/>
                <w:lang w:val="en-US" w:eastAsia="zh-CN"/>
              </w:rPr>
            </w:pPr>
            <w:r>
              <w:rPr>
                <w:rFonts w:hint="eastAsia" w:eastAsia="仿宋_GB2312"/>
                <w:color w:val="auto"/>
                <w:sz w:val="21"/>
                <w:szCs w:val="21"/>
                <w:lang w:val="en-US" w:eastAsia="zh-CN"/>
              </w:rPr>
              <w:t xml:space="preserve">                   </w:t>
            </w:r>
            <w:r>
              <w:rPr>
                <w:rFonts w:hint="eastAsia" w:eastAsia="仿宋_GB2312"/>
                <w:b/>
                <w:bCs/>
                <w:color w:val="auto"/>
                <w:sz w:val="21"/>
                <w:szCs w:val="21"/>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04" w:type="dxa"/>
            <w:tcBorders>
              <w:tl2br w:val="nil"/>
              <w:tr2bl w:val="nil"/>
            </w:tcBorders>
            <w:noWrap w:val="0"/>
            <w:vAlign w:val="center"/>
          </w:tcPr>
          <w:p>
            <w:pPr>
              <w:spacing w:line="600" w:lineRule="exact"/>
              <w:contextualSpacing/>
              <w:jc w:val="left"/>
              <w:rPr>
                <w:rFonts w:hint="default" w:eastAsia="仿宋_GB2312"/>
                <w:b/>
                <w:bCs/>
                <w:color w:val="auto"/>
                <w:sz w:val="21"/>
                <w:szCs w:val="21"/>
                <w:vertAlign w:val="baseline"/>
                <w:lang w:val="en-US" w:eastAsia="zh-CN"/>
              </w:rPr>
            </w:pPr>
            <w:r>
              <w:rPr>
                <w:rFonts w:hint="eastAsia" w:eastAsia="仿宋_GB2312"/>
                <w:b/>
                <w:bCs/>
                <w:color w:val="auto"/>
                <w:sz w:val="21"/>
                <w:szCs w:val="21"/>
                <w:lang w:val="en-US" w:eastAsia="zh-CN"/>
              </w:rPr>
              <w:t>地址：</w:t>
            </w:r>
          </w:p>
          <w:tbl>
            <w:tblPr>
              <w:tblStyle w:val="21"/>
              <w:tblW w:w="486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60" w:type="dxa"/>
                  <w:shd w:val="clear" w:color="auto" w:fill="F1F1F1" w:themeFill="background1" w:themeFillShade="F2"/>
                  <w:vAlign w:val="center"/>
                </w:tcPr>
                <w:p>
                  <w:pPr>
                    <w:pStyle w:val="2"/>
                    <w:rPr>
                      <w:rFonts w:hint="default"/>
                      <w:color w:val="auto"/>
                      <w:lang w:val="en-US" w:eastAsia="zh-CN"/>
                    </w:rPr>
                  </w:pPr>
                </w:p>
              </w:tc>
            </w:tr>
          </w:tbl>
          <w:p>
            <w:pPr>
              <w:spacing w:line="600" w:lineRule="exact"/>
              <w:contextualSpacing/>
              <w:jc w:val="left"/>
              <w:rPr>
                <w:rFonts w:hint="default" w:eastAsia="仿宋_GB2312"/>
                <w:color w:val="auto"/>
                <w:sz w:val="21"/>
                <w:szCs w:val="21"/>
                <w:lang w:val="en-US" w:eastAsia="zh-CN"/>
              </w:rPr>
            </w:pPr>
          </w:p>
        </w:tc>
        <w:tc>
          <w:tcPr>
            <w:tcW w:w="4875" w:type="dxa"/>
            <w:tcBorders>
              <w:tl2br w:val="nil"/>
              <w:tr2bl w:val="nil"/>
            </w:tcBorders>
            <w:noWrap w:val="0"/>
            <w:vAlign w:val="center"/>
          </w:tcPr>
          <w:p>
            <w:pPr>
              <w:spacing w:line="360" w:lineRule="auto"/>
              <w:contextualSpacing/>
              <w:jc w:val="left"/>
              <w:rPr>
                <w:rFonts w:hint="default" w:eastAsia="仿宋_GB2312"/>
                <w:color w:val="auto"/>
                <w:sz w:val="21"/>
                <w:szCs w:val="21"/>
                <w:lang w:val="en-US" w:eastAsia="zh-CN"/>
              </w:rPr>
            </w:pPr>
            <w:r>
              <w:rPr>
                <w:rFonts w:hint="eastAsia" w:eastAsia="仿宋_GB2312"/>
                <w:color w:val="auto"/>
                <w:sz w:val="21"/>
                <w:szCs w:val="21"/>
                <w:lang w:val="en-US" w:eastAsia="zh-CN"/>
              </w:rPr>
              <w:t>地址：江苏省苏州市吴中区东环南路999号中博科技园A座318室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04" w:type="dxa"/>
            <w:tcBorders>
              <w:tl2br w:val="nil"/>
              <w:tr2bl w:val="nil"/>
            </w:tcBorders>
            <w:noWrap w:val="0"/>
            <w:vAlign w:val="center"/>
          </w:tcPr>
          <w:tbl>
            <w:tblPr>
              <w:tblStyle w:val="21"/>
              <w:tblpPr w:leftFromText="180" w:rightFromText="180" w:vertAnchor="text" w:horzAnchor="page" w:tblpX="1165" w:tblpY="175"/>
              <w:tblOverlap w:val="never"/>
              <w:tblW w:w="2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60" w:type="dxa"/>
                  <w:shd w:val="clear" w:color="auto" w:fill="F1F1F1" w:themeFill="background1" w:themeFillShade="F2"/>
                  <w:vAlign w:val="center"/>
                </w:tcPr>
                <w:p>
                  <w:pPr>
                    <w:pStyle w:val="2"/>
                    <w:rPr>
                      <w:rFonts w:hint="default"/>
                      <w:color w:val="auto"/>
                      <w:lang w:val="en-US" w:eastAsia="zh-CN"/>
                    </w:rPr>
                  </w:pPr>
                </w:p>
              </w:tc>
            </w:tr>
          </w:tbl>
          <w:p>
            <w:pPr>
              <w:spacing w:line="600" w:lineRule="exact"/>
              <w:contextualSpacing/>
              <w:jc w:val="left"/>
              <w:rPr>
                <w:rFonts w:hint="default" w:eastAsia="仿宋_GB2312"/>
                <w:color w:val="auto"/>
                <w:sz w:val="21"/>
                <w:szCs w:val="21"/>
                <w:lang w:val="en-US" w:eastAsia="zh-CN"/>
              </w:rPr>
            </w:pPr>
            <w:r>
              <w:rPr>
                <w:rFonts w:hint="eastAsia" w:eastAsia="仿宋_GB2312"/>
                <w:b/>
                <w:bCs/>
                <w:color w:val="auto"/>
                <w:sz w:val="21"/>
                <w:szCs w:val="21"/>
                <w:lang w:val="en-US" w:eastAsia="zh-CN"/>
              </w:rPr>
              <w:t>联系人：</w:t>
            </w:r>
          </w:p>
        </w:tc>
        <w:tc>
          <w:tcPr>
            <w:tcW w:w="4875" w:type="dxa"/>
            <w:tcBorders>
              <w:tl2br w:val="nil"/>
              <w:tr2bl w:val="nil"/>
            </w:tcBorders>
            <w:noWrap w:val="0"/>
            <w:vAlign w:val="center"/>
          </w:tcPr>
          <w:p>
            <w:pPr>
              <w:spacing w:line="360" w:lineRule="auto"/>
              <w:contextualSpacing/>
              <w:jc w:val="left"/>
              <w:rPr>
                <w:rFonts w:hint="default" w:eastAsia="仿宋_GB2312"/>
                <w:color w:val="auto"/>
                <w:sz w:val="21"/>
                <w:szCs w:val="21"/>
                <w:lang w:val="en-US" w:eastAsia="zh-CN"/>
              </w:rPr>
            </w:pPr>
            <w:r>
              <w:rPr>
                <w:rFonts w:hint="eastAsia" w:eastAsia="仿宋_GB2312"/>
                <w:color w:val="auto"/>
                <w:sz w:val="21"/>
                <w:szCs w:val="21"/>
                <w:lang w:val="en-US" w:eastAsia="zh-CN"/>
              </w:rPr>
              <w:t>联系人：邹碧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904" w:type="dxa"/>
            <w:tcBorders>
              <w:tl2br w:val="nil"/>
              <w:tr2bl w:val="nil"/>
            </w:tcBorders>
            <w:noWrap w:val="0"/>
            <w:vAlign w:val="center"/>
          </w:tcPr>
          <w:tbl>
            <w:tblPr>
              <w:tblStyle w:val="21"/>
              <w:tblpPr w:leftFromText="180" w:rightFromText="180" w:vertAnchor="text" w:horzAnchor="page" w:tblpX="1165" w:tblpY="194"/>
              <w:tblOverlap w:val="never"/>
              <w:tblW w:w="2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40" w:type="dxa"/>
                  <w:shd w:val="clear" w:color="auto" w:fill="F1F1F1" w:themeFill="background1" w:themeFillShade="F2"/>
                  <w:vAlign w:val="center"/>
                </w:tcPr>
                <w:p>
                  <w:pPr>
                    <w:pStyle w:val="2"/>
                    <w:rPr>
                      <w:rFonts w:hint="default"/>
                      <w:color w:val="auto"/>
                      <w:lang w:val="en-US" w:eastAsia="zh-CN"/>
                    </w:rPr>
                  </w:pPr>
                </w:p>
              </w:tc>
            </w:tr>
          </w:tbl>
          <w:p>
            <w:pPr>
              <w:spacing w:line="600" w:lineRule="exact"/>
              <w:contextualSpacing/>
              <w:jc w:val="left"/>
              <w:rPr>
                <w:rFonts w:hint="default" w:eastAsia="仿宋_GB2312"/>
                <w:color w:val="auto"/>
                <w:sz w:val="21"/>
                <w:szCs w:val="21"/>
                <w:lang w:val="en-US" w:eastAsia="zh-CN"/>
              </w:rPr>
            </w:pPr>
            <w:r>
              <w:rPr>
                <w:rFonts w:hint="eastAsia" w:eastAsia="仿宋_GB2312"/>
                <w:b/>
                <w:bCs/>
                <w:color w:val="auto"/>
                <w:sz w:val="21"/>
                <w:szCs w:val="21"/>
                <w:lang w:val="en-US" w:eastAsia="zh-CN"/>
              </w:rPr>
              <w:t>电  话：</w:t>
            </w:r>
          </w:p>
        </w:tc>
        <w:tc>
          <w:tcPr>
            <w:tcW w:w="4875" w:type="dxa"/>
            <w:tcBorders>
              <w:tl2br w:val="nil"/>
              <w:tr2bl w:val="nil"/>
            </w:tcBorders>
            <w:noWrap w:val="0"/>
            <w:vAlign w:val="center"/>
          </w:tcPr>
          <w:p>
            <w:pPr>
              <w:spacing w:line="360" w:lineRule="auto"/>
              <w:contextualSpacing/>
              <w:jc w:val="left"/>
              <w:rPr>
                <w:rFonts w:hint="default" w:eastAsia="仿宋_GB2312"/>
                <w:color w:val="auto"/>
                <w:sz w:val="21"/>
                <w:szCs w:val="21"/>
                <w:lang w:val="en-US" w:eastAsia="zh-CN"/>
              </w:rPr>
            </w:pPr>
            <w:r>
              <w:rPr>
                <w:rFonts w:hint="eastAsia" w:eastAsia="仿宋_GB2312"/>
                <w:color w:val="auto"/>
                <w:sz w:val="21"/>
                <w:szCs w:val="21"/>
                <w:lang w:val="en-US" w:eastAsia="zh-CN"/>
              </w:rPr>
              <w:t>电话：0512-65019996  051265018166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904" w:type="dxa"/>
            <w:tcBorders>
              <w:tl2br w:val="nil"/>
              <w:tr2bl w:val="nil"/>
            </w:tcBorders>
            <w:noWrap w:val="0"/>
            <w:vAlign w:val="center"/>
          </w:tcPr>
          <w:tbl>
            <w:tblPr>
              <w:tblStyle w:val="21"/>
              <w:tblpPr w:leftFromText="180" w:rightFromText="180" w:vertAnchor="text" w:horzAnchor="page" w:tblpX="1177" w:tblpY="209"/>
              <w:tblOverlap w:val="never"/>
              <w:tblW w:w="3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580" w:type="dxa"/>
                  <w:shd w:val="clear" w:color="auto" w:fill="F1F1F1" w:themeFill="background1" w:themeFillShade="F2"/>
                  <w:vAlign w:val="center"/>
                </w:tcPr>
                <w:p>
                  <w:pPr>
                    <w:pStyle w:val="2"/>
                    <w:rPr>
                      <w:rFonts w:hint="default"/>
                      <w:color w:val="auto"/>
                      <w:lang w:val="en-US" w:eastAsia="zh-CN"/>
                    </w:rPr>
                  </w:pPr>
                </w:p>
              </w:tc>
            </w:tr>
          </w:tbl>
          <w:p>
            <w:pPr>
              <w:spacing w:line="600" w:lineRule="exact"/>
              <w:contextualSpacing/>
              <w:jc w:val="left"/>
              <w:rPr>
                <w:rFonts w:hint="default" w:eastAsia="仿宋_GB2312"/>
                <w:color w:val="auto"/>
                <w:sz w:val="21"/>
                <w:szCs w:val="21"/>
                <w:lang w:val="en-US" w:eastAsia="zh-CN"/>
              </w:rPr>
            </w:pPr>
            <w:r>
              <w:rPr>
                <w:rFonts w:hint="eastAsia" w:eastAsia="仿宋_GB2312"/>
                <w:b/>
                <w:bCs/>
                <w:color w:val="auto"/>
                <w:sz w:val="21"/>
                <w:szCs w:val="21"/>
                <w:lang w:val="en-US" w:eastAsia="zh-CN"/>
              </w:rPr>
              <w:t>开户行：</w:t>
            </w:r>
          </w:p>
        </w:tc>
        <w:tc>
          <w:tcPr>
            <w:tcW w:w="4875" w:type="dxa"/>
            <w:tcBorders>
              <w:tl2br w:val="nil"/>
              <w:tr2bl w:val="nil"/>
            </w:tcBorders>
            <w:noWrap w:val="0"/>
            <w:vAlign w:val="center"/>
          </w:tcPr>
          <w:p>
            <w:pPr>
              <w:spacing w:line="360" w:lineRule="auto"/>
              <w:contextualSpacing/>
              <w:jc w:val="left"/>
              <w:rPr>
                <w:rFonts w:hint="default" w:eastAsia="仿宋_GB2312"/>
                <w:color w:val="auto"/>
                <w:sz w:val="21"/>
                <w:szCs w:val="21"/>
                <w:lang w:val="en-US" w:eastAsia="zh-CN"/>
              </w:rPr>
            </w:pPr>
            <w:r>
              <w:rPr>
                <w:rFonts w:hint="eastAsia" w:eastAsia="仿宋_GB2312"/>
                <w:color w:val="auto"/>
                <w:sz w:val="21"/>
                <w:szCs w:val="21"/>
                <w:lang w:val="en-US" w:eastAsia="zh-CN"/>
              </w:rPr>
              <w:t>开户行：</w:t>
            </w:r>
            <w:r>
              <w:rPr>
                <w:rFonts w:hint="default" w:ascii="Times New Roman" w:hAnsi="Times New Roman" w:eastAsia="仿宋_GB2312" w:cs="Times New Roman"/>
                <w:color w:val="auto"/>
                <w:sz w:val="21"/>
                <w:szCs w:val="21"/>
                <w:lang w:val="en-US" w:eastAsia="zh-CN"/>
              </w:rPr>
              <w:t>中国农业银行股份有限公司苏州东吴支行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04" w:type="dxa"/>
            <w:tcBorders>
              <w:tl2br w:val="nil"/>
              <w:tr2bl w:val="nil"/>
            </w:tcBorders>
            <w:noWrap w:val="0"/>
            <w:vAlign w:val="center"/>
          </w:tcPr>
          <w:tbl>
            <w:tblPr>
              <w:tblStyle w:val="21"/>
              <w:tblpPr w:leftFromText="180" w:rightFromText="180" w:vertAnchor="text" w:horzAnchor="page" w:tblpX="1165" w:tblpY="149"/>
              <w:tblOverlap w:val="never"/>
              <w:tblW w:w="3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580" w:type="dxa"/>
                  <w:shd w:val="clear" w:color="auto" w:fill="F1F1F1" w:themeFill="background1" w:themeFillShade="F2"/>
                  <w:vAlign w:val="center"/>
                </w:tcPr>
                <w:p>
                  <w:pPr>
                    <w:pStyle w:val="2"/>
                    <w:rPr>
                      <w:rFonts w:hint="default"/>
                      <w:color w:val="auto"/>
                      <w:lang w:val="en-US" w:eastAsia="zh-CN"/>
                    </w:rPr>
                  </w:pPr>
                </w:p>
              </w:tc>
            </w:tr>
          </w:tbl>
          <w:p>
            <w:pPr>
              <w:spacing w:line="600" w:lineRule="exact"/>
              <w:contextualSpacing/>
              <w:jc w:val="left"/>
              <w:rPr>
                <w:rFonts w:hint="default" w:eastAsia="宋体"/>
                <w:color w:val="auto"/>
                <w:sz w:val="21"/>
                <w:szCs w:val="21"/>
                <w:lang w:val="en-US" w:eastAsia="zh-CN"/>
              </w:rPr>
            </w:pPr>
            <w:r>
              <w:rPr>
                <w:rFonts w:hint="eastAsia" w:eastAsia="仿宋_GB2312"/>
                <w:b/>
                <w:bCs/>
                <w:color w:val="auto"/>
                <w:sz w:val="21"/>
                <w:szCs w:val="21"/>
              </w:rPr>
              <w:t>账</w:t>
            </w:r>
            <w:r>
              <w:rPr>
                <w:rFonts w:hint="eastAsia" w:eastAsia="仿宋_GB2312"/>
                <w:b/>
                <w:bCs/>
                <w:color w:val="auto"/>
                <w:sz w:val="21"/>
                <w:szCs w:val="21"/>
                <w:lang w:val="en-US" w:eastAsia="zh-CN"/>
              </w:rPr>
              <w:t xml:space="preserve"> </w:t>
            </w:r>
            <w:r>
              <w:rPr>
                <w:rFonts w:hint="eastAsia" w:eastAsia="仿宋_GB2312"/>
                <w:b/>
                <w:bCs/>
                <w:color w:val="auto"/>
                <w:sz w:val="21"/>
                <w:szCs w:val="21"/>
              </w:rPr>
              <w:t>号</w:t>
            </w:r>
            <w:r>
              <w:rPr>
                <w:rFonts w:eastAsia="仿宋_GB2312"/>
                <w:b/>
                <w:bCs/>
                <w:color w:val="auto"/>
                <w:sz w:val="21"/>
                <w:szCs w:val="21"/>
              </w:rPr>
              <w:t>：</w:t>
            </w:r>
          </w:p>
        </w:tc>
        <w:tc>
          <w:tcPr>
            <w:tcW w:w="4875" w:type="dxa"/>
            <w:tcBorders>
              <w:tl2br w:val="nil"/>
              <w:tr2bl w:val="nil"/>
            </w:tcBorders>
            <w:noWrap w:val="0"/>
            <w:vAlign w:val="center"/>
          </w:tcPr>
          <w:p>
            <w:pPr>
              <w:jc w:val="both"/>
              <w:rPr>
                <w:rFonts w:eastAsia="仿宋_GB2312"/>
                <w:color w:val="auto"/>
                <w:sz w:val="21"/>
                <w:szCs w:val="21"/>
              </w:rPr>
            </w:pPr>
            <w:r>
              <w:rPr>
                <w:rFonts w:hint="default" w:ascii="Times New Roman" w:hAnsi="Times New Roman" w:eastAsia="仿宋_GB2312" w:cs="Times New Roman"/>
                <w:color w:val="auto"/>
                <w:sz w:val="21"/>
                <w:szCs w:val="21"/>
                <w:lang w:val="en-US" w:eastAsia="zh-CN"/>
              </w:rPr>
              <w:t>账号： 10555501040031375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904" w:type="dxa"/>
            <w:tcBorders>
              <w:tl2br w:val="nil"/>
              <w:tr2bl w:val="nil"/>
            </w:tcBorders>
            <w:shd w:val="clear" w:color="auto" w:fill="F1F1F1"/>
            <w:noWrap w:val="0"/>
            <w:vAlign w:val="center"/>
          </w:tcPr>
          <w:p>
            <w:pPr>
              <w:spacing w:line="600" w:lineRule="exact"/>
              <w:contextualSpacing/>
              <w:jc w:val="left"/>
              <w:rPr>
                <w:rFonts w:hint="default" w:eastAsia="仿宋_GB2312"/>
                <w:b/>
                <w:bCs/>
                <w:color w:val="auto"/>
                <w:sz w:val="21"/>
                <w:szCs w:val="21"/>
                <w:lang w:val="en-US" w:eastAsia="zh-CN"/>
              </w:rPr>
            </w:pPr>
            <w:r>
              <w:rPr>
                <w:rFonts w:eastAsia="仿宋_GB2312"/>
                <w:b/>
                <w:bCs/>
                <w:color w:val="auto"/>
                <w:sz w:val="21"/>
                <w:szCs w:val="21"/>
              </w:rPr>
              <w:t>授权签约人</w:t>
            </w:r>
            <w:r>
              <w:rPr>
                <w:rFonts w:hint="eastAsia" w:eastAsia="仿宋_GB2312"/>
                <w:b/>
                <w:bCs/>
                <w:color w:val="auto"/>
                <w:sz w:val="21"/>
                <w:szCs w:val="21"/>
                <w:lang w:eastAsia="zh-CN"/>
              </w:rPr>
              <w:t>（</w:t>
            </w:r>
            <w:r>
              <w:rPr>
                <w:rFonts w:hint="eastAsia" w:eastAsia="仿宋_GB2312"/>
                <w:b/>
                <w:bCs/>
                <w:color w:val="auto"/>
                <w:sz w:val="21"/>
                <w:szCs w:val="21"/>
                <w:lang w:val="en-US" w:eastAsia="zh-CN"/>
              </w:rPr>
              <w:t>签字</w:t>
            </w:r>
            <w:r>
              <w:rPr>
                <w:rFonts w:hint="eastAsia" w:eastAsia="仿宋_GB2312"/>
                <w:b/>
                <w:bCs/>
                <w:color w:val="auto"/>
                <w:sz w:val="21"/>
                <w:szCs w:val="21"/>
                <w:lang w:eastAsia="zh-CN"/>
              </w:rPr>
              <w:t>）：</w:t>
            </w:r>
            <w:r>
              <w:rPr>
                <w:rFonts w:hint="eastAsia" w:eastAsia="仿宋_GB2312"/>
                <w:b/>
                <w:bCs/>
                <w:color w:val="auto"/>
                <w:sz w:val="21"/>
                <w:szCs w:val="21"/>
                <w:u w:val="single"/>
                <w:lang w:val="en-US" w:eastAsia="zh-CN"/>
              </w:rPr>
              <w:t xml:space="preserve">                 </w:t>
            </w:r>
          </w:p>
          <w:p>
            <w:pPr>
              <w:spacing w:line="600" w:lineRule="exact"/>
              <w:contextualSpacing/>
              <w:jc w:val="left"/>
              <w:rPr>
                <w:rFonts w:eastAsia="仿宋_GB2312"/>
                <w:b/>
                <w:bCs/>
                <w:color w:val="auto"/>
                <w:sz w:val="21"/>
                <w:szCs w:val="21"/>
              </w:rPr>
            </w:pPr>
            <w:r>
              <w:rPr>
                <w:rFonts w:hint="eastAsia" w:eastAsia="仿宋_GB2312"/>
                <w:b/>
                <w:bCs/>
                <w:color w:val="auto"/>
                <w:sz w:val="21"/>
                <w:szCs w:val="21"/>
                <w:lang w:val="en-US" w:eastAsia="zh-CN"/>
              </w:rPr>
              <w:t>日期</w:t>
            </w:r>
            <w:r>
              <w:rPr>
                <w:rFonts w:eastAsia="仿宋_GB2312"/>
                <w:b/>
                <w:bCs/>
                <w:color w:val="auto"/>
                <w:sz w:val="21"/>
                <w:szCs w:val="21"/>
              </w:rPr>
              <w:t>：</w:t>
            </w:r>
            <w:r>
              <w:rPr>
                <w:rFonts w:hint="eastAsia" w:eastAsia="仿宋_GB2312"/>
                <w:b/>
                <w:bCs/>
                <w:color w:val="auto"/>
                <w:sz w:val="21"/>
                <w:szCs w:val="21"/>
                <w:u w:val="single"/>
                <w:lang w:val="en-US" w:eastAsia="zh-CN"/>
              </w:rPr>
              <w:t xml:space="preserve">              </w:t>
            </w:r>
            <w:r>
              <w:rPr>
                <w:rFonts w:hint="eastAsia" w:eastAsia="仿宋_GB2312"/>
                <w:b/>
                <w:bCs/>
                <w:color w:val="auto"/>
                <w:sz w:val="21"/>
                <w:szCs w:val="21"/>
                <w:lang w:val="en-US" w:eastAsia="zh-CN"/>
              </w:rPr>
              <w:t xml:space="preserve">   </w:t>
            </w:r>
            <w:r>
              <w:rPr>
                <w:rFonts w:hint="eastAsia" w:hAnsi="宋体"/>
                <w:b/>
                <w:bCs/>
                <w:color w:val="auto"/>
                <w:sz w:val="21"/>
                <w:szCs w:val="21"/>
              </w:rPr>
              <w:t xml:space="preserve"> </w:t>
            </w:r>
          </w:p>
        </w:tc>
        <w:tc>
          <w:tcPr>
            <w:tcW w:w="4875" w:type="dxa"/>
            <w:tcBorders>
              <w:tl2br w:val="nil"/>
              <w:tr2bl w:val="nil"/>
            </w:tcBorders>
            <w:shd w:val="clear" w:color="auto" w:fill="F1F1F1"/>
            <w:noWrap w:val="0"/>
            <w:vAlign w:val="center"/>
          </w:tcPr>
          <w:p>
            <w:pPr>
              <w:spacing w:line="600" w:lineRule="exact"/>
              <w:contextualSpacing/>
              <w:jc w:val="left"/>
              <w:rPr>
                <w:rFonts w:hint="default"/>
                <w:b/>
                <w:bCs/>
                <w:color w:val="auto"/>
                <w:lang w:val="en-US" w:eastAsia="zh-CN"/>
              </w:rPr>
            </w:pPr>
            <w:r>
              <w:rPr>
                <w:b/>
                <w:bCs/>
                <w:color w:val="auto"/>
              </w:rPr>
              <w:t>授权签约人</w:t>
            </w:r>
            <w:r>
              <w:rPr>
                <w:rFonts w:hint="eastAsia"/>
                <w:b/>
                <w:bCs/>
                <w:color w:val="auto"/>
                <w:lang w:eastAsia="zh-CN"/>
              </w:rPr>
              <w:t>（</w:t>
            </w:r>
            <w:r>
              <w:rPr>
                <w:rFonts w:hint="eastAsia"/>
                <w:b/>
                <w:bCs/>
                <w:color w:val="auto"/>
                <w:lang w:val="en-US" w:eastAsia="zh-CN"/>
              </w:rPr>
              <w:t>签字</w:t>
            </w:r>
            <w:r>
              <w:rPr>
                <w:rFonts w:hint="eastAsia"/>
                <w:b/>
                <w:bCs/>
                <w:color w:val="auto"/>
                <w:lang w:eastAsia="zh-CN"/>
              </w:rPr>
              <w:t>）：</w:t>
            </w:r>
            <w:r>
              <w:rPr>
                <w:rFonts w:hint="eastAsia"/>
                <w:b/>
                <w:bCs/>
                <w:color w:val="auto"/>
                <w:u w:val="single"/>
                <w:lang w:val="en-US" w:eastAsia="zh-CN"/>
              </w:rPr>
              <w:t xml:space="preserve">                 </w:t>
            </w:r>
            <w:r>
              <w:rPr>
                <w:rFonts w:hint="eastAsia"/>
                <w:b/>
                <w:bCs/>
                <w:color w:val="auto"/>
                <w:lang w:val="en-US" w:eastAsia="zh-CN"/>
              </w:rPr>
              <w:t xml:space="preserve"> </w:t>
            </w:r>
          </w:p>
          <w:p>
            <w:pPr>
              <w:spacing w:line="600" w:lineRule="exact"/>
              <w:contextualSpacing/>
              <w:jc w:val="left"/>
              <w:rPr>
                <w:rFonts w:hint="default" w:eastAsia="宋体"/>
                <w:b/>
                <w:bCs/>
                <w:color w:val="auto"/>
                <w:lang w:val="en-US" w:eastAsia="zh-CN"/>
              </w:rPr>
            </w:pPr>
            <w:r>
              <w:rPr>
                <w:rFonts w:hint="eastAsia"/>
                <w:b/>
                <w:bCs/>
                <w:color w:val="auto"/>
                <w:lang w:val="en-US" w:eastAsia="zh-CN"/>
              </w:rPr>
              <w:t>日期</w:t>
            </w:r>
            <w:r>
              <w:rPr>
                <w:b/>
                <w:bCs/>
                <w:color w:val="auto"/>
              </w:rPr>
              <w:t>：</w:t>
            </w:r>
            <w:r>
              <w:rPr>
                <w:rFonts w:hint="eastAsia"/>
                <w:b/>
                <w:bCs/>
                <w:color w:val="auto"/>
                <w:u w:val="single"/>
                <w:lang w:val="en-US" w:eastAsia="zh-CN"/>
              </w:rPr>
              <w:t xml:space="preserve">                 </w:t>
            </w:r>
          </w:p>
          <w:p>
            <w:pPr>
              <w:pStyle w:val="2"/>
              <w:rPr>
                <w:b/>
                <w:bCs/>
                <w:color w:val="auto"/>
              </w:rPr>
            </w:pPr>
          </w:p>
        </w:tc>
      </w:tr>
    </w:tbl>
    <w:p>
      <w:pPr>
        <w:spacing w:before="120" w:line="360" w:lineRule="exact"/>
        <w:rPr>
          <w:rFonts w:hint="eastAsia" w:eastAsia="仿宋_GB2312"/>
          <w:b/>
          <w:color w:val="auto"/>
          <w:sz w:val="30"/>
          <w:szCs w:val="30"/>
        </w:rPr>
      </w:pPr>
    </w:p>
    <w:sectPr>
      <w:headerReference r:id="rId5" w:type="first"/>
      <w:footerReference r:id="rId7" w:type="first"/>
      <w:headerReference r:id="rId3" w:type="default"/>
      <w:footerReference r:id="rId6" w:type="default"/>
      <w:headerReference r:id="rId4" w:type="even"/>
      <w:pgSz w:w="11906" w:h="16838"/>
      <w:pgMar w:top="1077" w:right="1077" w:bottom="737" w:left="1247" w:header="510" w:footer="397" w:gutter="0"/>
      <w:pgBorders>
        <w:top w:val="none" w:sz="0" w:space="0"/>
        <w:left w:val="none" w:sz="0" w:space="0"/>
        <w:bottom w:val="none" w:sz="0" w:space="0"/>
        <w:right w:val="none" w:sz="0" w:space="0"/>
      </w:pgBorders>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80"/>
        <w:tab w:val="right" w:pos="9588"/>
      </w:tabs>
      <w:jc w:val="left"/>
    </w:pPr>
    <w:r>
      <w:rPr>
        <w:sz w:val="18"/>
      </w:rPr>
      <mc:AlternateContent>
        <mc:Choice Requires="wps">
          <w:drawing>
            <wp:anchor distT="0" distB="0" distL="114300" distR="114300" simplePos="0" relativeHeight="251667456" behindDoc="0" locked="0" layoutInCell="1" allowOverlap="1">
              <wp:simplePos x="0" y="0"/>
              <wp:positionH relativeFrom="margin">
                <wp:posOffset>5148580</wp:posOffset>
              </wp:positionH>
              <wp:positionV relativeFrom="paragraph">
                <wp:posOffset>137160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4pt;margin-top:10.8pt;height:144pt;width:144pt;mso-position-horizontal-relative:margin;mso-wrap-style:none;z-index:251667456;mso-width-relative:page;mso-height-relative:page;" filled="f" stroked="f" coordsize="21600,21600" o:gfxdata="UEsDBAoAAAAAAIdO4kAAAAAAAAAAAAAAAAAEAAAAZHJzL1BLAwQUAAAACACHTuJAXxxIotcAAAAL&#10;AQAADwAAAGRycy9kb3ducmV2LnhtbE2PwU7DMBBE70j8g7VI3KidFkVpiFOJinBEoumBoxsvScBe&#10;R7abhr/HPcFxZ0czb6rdYg2b0YfRkYRsJYAhdU6P1Es4ts1DASxERVoZRyjhBwPs6tubSpXaXegd&#10;50PsWQqhUCoJQ4xTyXnoBrQqrNyElH6fzlsV0+l7rr26pHBr+FqInFs1UmoY1IT7Abvvw9lK2Ddt&#10;62cM3nzga7P5ent+xJdFyvu7TDwBi7jEPzNc8RM61Inp5M6kAzMSikwk9ChhneXArgaxLZJykrAR&#10;2xx4XfH/G+pfUEsDBBQAAAAIAIdO4kBe2iTuMw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hhLD&#10;NCp++vH99PPh9OsbwRkEalyYIe7eITK272yLthnOAw4T77byOn3BiMAPeY8XeUUbCU+XppPpNIeL&#10;wzdsgJ89Xnc+xPfCapKMgnrUr5OVHTYh9qFDSMpm7Foq1dVQGdIU9Or12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8cSKLXAAAACwEAAA8AAAAAAAAAAQAgAAAAIgAAAGRycy9kb3ducmV2Lnht&#10;bFBLAQIUABQAAAAIAIdO4kBe2iTuMwIAAGMEAAAOAAAAAAAAAAEAIAAAACYBAABkcnMvZTJvRG9j&#10;LnhtbFBLBQYAAAAABgAGAFkBAADL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hint="eastAsia"/>
        <w:lang w:val="en-US" w:eastAsia="zh-CN"/>
      </w:rPr>
      <w:t>---------------------------------------------------------------------------------------------------------------------------------------------------------------</w:t>
    </w:r>
    <w:r>
      <w:rPr>
        <w:rFonts w:hint="eastAsia"/>
        <w:lang w:val="en-US" w:eastAsia="zh-CN"/>
      </w:rPr>
      <w:br w:type="textWrapping"/>
    </w:r>
    <w:r>
      <w:rPr>
        <w:rFonts w:hint="eastAsia"/>
        <w:lang w:val="en-US" w:eastAsia="zh-CN"/>
      </w:rPr>
      <w:t>管理体系认证合同                         文件修订日期：2023年08月19日</w:t>
    </w:r>
    <w:r>
      <w:rPr>
        <w:rFonts w:hint="eastAsia"/>
        <w:lang w:eastAsia="zh-CN"/>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default" w:eastAsia="宋体"/>
        <w:lang w:val="en-US" w:eastAsia="zh-CN"/>
      </w:rPr>
    </w:pPr>
    <w:r>
      <w:rPr>
        <w:rFonts w:hint="eastAsia"/>
        <w:lang w:val="en-US" w:eastAsia="zh-CN"/>
      </w:rPr>
      <w:t>合同版本：B/1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890" w:firstLineChars="900"/>
      <w:jc w:val="both"/>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4728210</wp:posOffset>
              </wp:positionH>
              <wp:positionV relativeFrom="paragraph">
                <wp:posOffset>-37465</wp:posOffset>
              </wp:positionV>
              <wp:extent cx="1470025" cy="367665"/>
              <wp:effectExtent l="0" t="0" r="0" b="0"/>
              <wp:wrapNone/>
              <wp:docPr id="8" name="文本框 8"/>
              <wp:cNvGraphicFramePr/>
              <a:graphic xmlns:a="http://schemas.openxmlformats.org/drawingml/2006/main">
                <a:graphicData uri="http://schemas.microsoft.com/office/word/2010/wordprocessingShape">
                  <wps:wsp>
                    <wps:cNvSpPr txBox="1"/>
                    <wps:spPr>
                      <a:xfrm>
                        <a:off x="4977130" y="249555"/>
                        <a:ext cx="1948815" cy="367665"/>
                      </a:xfrm>
                      <a:prstGeom prst="rect">
                        <a:avLst/>
                      </a:prstGeom>
                      <a:noFill/>
                      <a:ln>
                        <a:noFill/>
                      </a:ln>
                      <a:effectLst/>
                    </wps:spPr>
                    <wps:txbx>
                      <w:txbxContent>
                        <w:p>
                          <w:pPr>
                            <w:spacing w:line="240" w:lineRule="auto"/>
                            <w:rPr>
                              <w:rFonts w:hint="eastAsia" w:ascii="宋体" w:hAnsi="宋体"/>
                              <w:sz w:val="18"/>
                              <w:szCs w:val="18"/>
                              <w:lang w:val="en-US" w:eastAsia="zh-CN"/>
                            </w:rPr>
                          </w:pPr>
                          <w:r>
                            <w:rPr>
                              <w:rFonts w:hint="eastAsia"/>
                              <w:sz w:val="18"/>
                              <w:szCs w:val="18"/>
                              <w:lang w:val="en-US" w:eastAsia="zh-CN"/>
                            </w:rPr>
                            <w:t>文件编号：</w:t>
                          </w:r>
                          <w:r>
                            <w:rPr>
                              <w:rFonts w:ascii="宋体" w:hAnsi="宋体" w:eastAsia="宋体" w:cs="Times New Roman"/>
                              <w:sz w:val="18"/>
                              <w:szCs w:val="18"/>
                            </w:rPr>
                            <w:t>Q</w:t>
                          </w:r>
                          <w:r>
                            <w:rPr>
                              <w:rFonts w:ascii="宋体" w:hAnsi="宋体"/>
                              <w:sz w:val="18"/>
                              <w:szCs w:val="18"/>
                            </w:rPr>
                            <w:t>P-004-JL</w:t>
                          </w:r>
                          <w:r>
                            <w:rPr>
                              <w:rFonts w:hint="eastAsia" w:ascii="宋体" w:hAnsi="宋体"/>
                              <w:sz w:val="18"/>
                              <w:szCs w:val="18"/>
                              <w:lang w:val="en-US" w:eastAsia="zh-CN"/>
                            </w:rPr>
                            <w:t>102</w:t>
                          </w:r>
                        </w:p>
                        <w:p>
                          <w:pPr>
                            <w:spacing w:line="240" w:lineRule="auto"/>
                            <w:rPr>
                              <w:rFonts w:hint="default"/>
                              <w:sz w:val="18"/>
                              <w:szCs w:val="18"/>
                              <w:lang w:val="en-US" w:eastAsia="zh-CN"/>
                            </w:rPr>
                          </w:pPr>
                          <w:r>
                            <w:rPr>
                              <w:rFonts w:hint="eastAsia"/>
                              <w:sz w:val="18"/>
                              <w:szCs w:val="18"/>
                              <w:lang w:val="en-US" w:eastAsia="zh-CN"/>
                            </w:rPr>
                            <w:t xml:space="preserve">文件版本：B/1   </w:t>
                          </w:r>
                        </w:p>
                      </w:txbxContent>
                    </wps:txbx>
                    <wps:bodyPr vert="horz" wrap="square" anchor="t" anchorCtr="0" upright="1"/>
                  </wps:wsp>
                </a:graphicData>
              </a:graphic>
            </wp:anchor>
          </w:drawing>
        </mc:Choice>
        <mc:Fallback>
          <w:pict>
            <v:shape id="_x0000_s1026" o:spid="_x0000_s1026" o:spt="202" type="#_x0000_t202" style="position:absolute;left:0pt;margin-left:372.3pt;margin-top:-2.95pt;height:28.95pt;width:115.75pt;z-index:251666432;mso-width-relative:page;mso-height-relative:page;" filled="f" stroked="f" coordsize="21600,21600" o:gfxdata="UEsDBAoAAAAAAIdO4kAAAAAAAAAAAAAAAAAEAAAAZHJzL1BLAwQUAAAACACHTuJA68RYW9cAAAAJ&#10;AQAADwAAAGRycy9kb3ducmV2LnhtbE2PwU7DMBBE70j8g7VI3Fo7VZKSkE0PIK4gWkDi5sbbJCJe&#10;R7HbhL/HnOC4mqeZt9VusYO40OR7xwjJWoEgbpzpuUV4Ozyt7kD4oNnowTEhfJOHXX19VenSuJlf&#10;6bIPrYgl7EuN0IUwllL6piOr/dqNxDE7ucnqEM+plWbScyy3g9wolUure44LnR7poaPma3+2CO/P&#10;p8+PVL20jzYbZ7coybaQiLc3iboHEWgJfzD86kd1qKPT0Z3ZeDEgbNM0jyjCKitARKDY5gmII0K2&#10;USDrSv7/oP4BUEsDBBQAAAAIAIdO4kCXGGKK3AEAAJoDAAAOAAAAZHJzL2Uyb0RvYy54bWytU0tu&#10;2zAQ3RfIHQjuY9mOv4LpAI2Rboq2QNoD0BRlERA/GdKW3AO0N+iqm+5zLp+jQ0pO89lk0Q05HA7f&#10;zHszXF23uiYHCV5Zw+hoMKREGmELZXaMfvt6e7mgxAduCl5bIxk9Sk+v1xfvVo3L5dhWti4kEAQx&#10;Pm8co1UILs8yLyqpuR9YJw1elhY0D3iEXVYAbxBd19l4OJxljYXCgRXSe/RuukvaI8JbAG1ZKiE3&#10;Vuy1NKFDBVnzgJR8pZyn61RtWUoRPpell4HUjCLTkFZMgvY2rtl6xfMdcFcp0ZfA31LCC06aK4NJ&#10;H6E2PHCyB/UKSisB1tsyDITVWUckKYIsRsMX2txV3MnEBaX27lF0//9gxafDFyCqYBTbbrjGhp9+&#10;/Tz9fjj9+UEWUZ7G+Ryj7hzGhfa9bXFozn6Pzsi6LUHHHfkQvJ8s5/PRFUp8ZHQ8WU6n005n2QYi&#10;4vvlZLEYTSkRGHA1m89mKSD7B+TAhw/SahINRgH7mOTlh48+YFEYeg6JeY29VXWdelmbZw4M7Dwy&#10;DUP/OnLqao9WaLdtT3RriyPyxO+BWSsL3ylpcDgY9fd7DpISbgS6GQ1n8yZ007R3oHYVvkriZBEX&#10;W5Yq7ccrzsTTM9pPv9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EWFvXAAAACQEAAA8AAAAA&#10;AAAAAQAgAAAAIgAAAGRycy9kb3ducmV2LnhtbFBLAQIUABQAAAAIAIdO4kCXGGKK3AEAAJoDAAAO&#10;AAAAAAAAAAEAIAAAACYBAABkcnMvZTJvRG9jLnhtbFBLBQYAAAAABgAGAFkBAAB0BQAAAAA=&#10;">
              <v:fill on="f" focussize="0,0"/>
              <v:stroke on="f"/>
              <v:imagedata o:title=""/>
              <o:lock v:ext="edit" aspectratio="f"/>
              <v:textbox>
                <w:txbxContent>
                  <w:p>
                    <w:pPr>
                      <w:spacing w:line="240" w:lineRule="auto"/>
                      <w:rPr>
                        <w:rFonts w:hint="eastAsia" w:ascii="宋体" w:hAnsi="宋体"/>
                        <w:sz w:val="18"/>
                        <w:szCs w:val="18"/>
                        <w:lang w:val="en-US" w:eastAsia="zh-CN"/>
                      </w:rPr>
                    </w:pPr>
                    <w:r>
                      <w:rPr>
                        <w:rFonts w:hint="eastAsia"/>
                        <w:sz w:val="18"/>
                        <w:szCs w:val="18"/>
                        <w:lang w:val="en-US" w:eastAsia="zh-CN"/>
                      </w:rPr>
                      <w:t>文件编号：</w:t>
                    </w:r>
                    <w:r>
                      <w:rPr>
                        <w:rFonts w:ascii="宋体" w:hAnsi="宋体" w:eastAsia="宋体" w:cs="Times New Roman"/>
                        <w:sz w:val="18"/>
                        <w:szCs w:val="18"/>
                      </w:rPr>
                      <w:t>Q</w:t>
                    </w:r>
                    <w:r>
                      <w:rPr>
                        <w:rFonts w:ascii="宋体" w:hAnsi="宋体"/>
                        <w:sz w:val="18"/>
                        <w:szCs w:val="18"/>
                      </w:rPr>
                      <w:t>P-004-JL</w:t>
                    </w:r>
                    <w:r>
                      <w:rPr>
                        <w:rFonts w:hint="eastAsia" w:ascii="宋体" w:hAnsi="宋体"/>
                        <w:sz w:val="18"/>
                        <w:szCs w:val="18"/>
                        <w:lang w:val="en-US" w:eastAsia="zh-CN"/>
                      </w:rPr>
                      <w:t>102</w:t>
                    </w:r>
                  </w:p>
                  <w:p>
                    <w:pPr>
                      <w:spacing w:line="240" w:lineRule="auto"/>
                      <w:rPr>
                        <w:rFonts w:hint="default"/>
                        <w:sz w:val="18"/>
                        <w:szCs w:val="18"/>
                        <w:lang w:val="en-US" w:eastAsia="zh-CN"/>
                      </w:rPr>
                    </w:pPr>
                    <w:r>
                      <w:rPr>
                        <w:rFonts w:hint="eastAsia"/>
                        <w:sz w:val="18"/>
                        <w:szCs w:val="18"/>
                        <w:lang w:val="en-US" w:eastAsia="zh-CN"/>
                      </w:rPr>
                      <w:t xml:space="preserve">文件版本：B/1   </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445135</wp:posOffset>
              </wp:positionH>
              <wp:positionV relativeFrom="paragraph">
                <wp:posOffset>87630</wp:posOffset>
              </wp:positionV>
              <wp:extent cx="1566545" cy="282575"/>
              <wp:effectExtent l="0" t="0" r="0" b="0"/>
              <wp:wrapNone/>
              <wp:docPr id="5" name="文本框 6"/>
              <wp:cNvGraphicFramePr/>
              <a:graphic xmlns:a="http://schemas.openxmlformats.org/drawingml/2006/main">
                <a:graphicData uri="http://schemas.microsoft.com/office/word/2010/wordprocessingShape">
                  <wps:wsp>
                    <wps:cNvSpPr txBox="1"/>
                    <wps:spPr>
                      <a:xfrm>
                        <a:off x="1203325" y="627380"/>
                        <a:ext cx="1566545" cy="282575"/>
                      </a:xfrm>
                      <a:prstGeom prst="rect">
                        <a:avLst/>
                      </a:prstGeom>
                      <a:noFill/>
                      <a:ln>
                        <a:noFill/>
                      </a:ln>
                      <a:effectLst/>
                    </wps:spPr>
                    <wps:txbx>
                      <w:txbxContent>
                        <w:p>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pPr>
                            <w:jc w:val="left"/>
                            <w:rPr>
                              <w:b w:val="0"/>
                              <w:bCs w:val="0"/>
                              <w:color w:val="1D2089"/>
                              <w:sz w:val="18"/>
                              <w:szCs w:val="18"/>
                            </w:rPr>
                          </w:pPr>
                        </w:p>
                      </w:txbxContent>
                    </wps:txbx>
                    <wps:bodyPr vert="horz" wrap="square" anchor="t" anchorCtr="0" upright="1"/>
                  </wps:wsp>
                </a:graphicData>
              </a:graphic>
            </wp:anchor>
          </w:drawing>
        </mc:Choice>
        <mc:Fallback>
          <w:pict>
            <v:shape id="文本框 6" o:spid="_x0000_s1026" o:spt="202" type="#_x0000_t202" style="position:absolute;left:0pt;margin-left:35.05pt;margin-top:6.9pt;height:22.25pt;width:123.35pt;z-index:251665408;mso-width-relative:page;mso-height-relative:page;" filled="f" stroked="f" coordsize="21600,21600" o:gfxdata="UEsDBAoAAAAAAIdO4kAAAAAAAAAAAAAAAAAEAAAAZHJzL1BLAwQUAAAACACHTuJA6I9s09UAAAAI&#10;AQAADwAAAGRycy9kb3ducmV2LnhtbE2PT0/DMAzF70h8h8hI3JhTysYoTXcAcQUx/kjcssZrKxqn&#10;arK1fHvMid1sv6fn3ys3s+/VkcbYBTaQLTQo4jq4jhsD729PV2tQMVl2tg9MBn4owqY6Pytt4cLE&#10;r3TcpkZJCMfCGmhTGgrEWLfkbVyEgVi0fRi9TbKODbrRThLue7zWeoXediwfWjvQQ0v19/bgDXw8&#10;778+b/RL8+iXwxRmjezv0JjLi0zfg0o0p38z/OELOlTCtAsHdlH1Bm51Jk6559JA9DxbybAzsFzn&#10;gFWJpwWqX1BLAwQUAAAACACHTuJAmjbiq9gBAACaAwAADgAAAGRycy9lMm9Eb2MueG1srVPNjtMw&#10;EL4j8Q6W7zTZlGSrqO5KUC0XBEgLD+A6k8ZS/IPtNikPAG/AiQt3nqvPwdhJl2W57IGLM54ZfzPf&#10;N5P1zah6cgTnpdGMXi1ySkAL00i9Z/TTx9sXK0p84LrhvdHA6Ak8vdk8f7YebA2F6UzfgCMIon09&#10;WEa7EGydZV50oLhfGAsag61xige8un3WOD4guuqzIs+rbDCusc4I8B692ylIZ0T3FEDTtlLA1oiD&#10;Ah0mVAc9D0jJd9J6ukndti2I8L5tPQTSM4pMQzqxCNq7eGabNa/3jttOirkF/pQWHnFSXGoseg+1&#10;5YGTg5P/QCkpnPGmDQthVDYRSYogi6v8kTZ3HbeQuKDU3t6L7v8frHh3/OCIbBgtKdFc4cDP37+d&#10;f/w6//xKqijPYH2NWXcW88L4yoy4NBe/R2dkPbZOxS/yITFe5MtlgYAnRqviermadYYxEBHjZVWV&#10;LzEuMKFYFeV1GRGzP0DW+fAGjCLRYNThHJO8/PjWhyn1khLranMr+z7Nstd/ORBz8kBahvl15DT1&#10;Hq0w7saZ6M40J+SJvwdW7Yz7QsmAy8Go/3zgDijhWqCb0XAxX4dpmw7WyX2Hr5I4WcTFkSVS83rF&#10;nXh4R/vhL7X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iPbNPVAAAACAEAAA8AAAAAAAAAAQAg&#10;AAAAIgAAAGRycy9kb3ducmV2LnhtbFBLAQIUABQAAAAIAIdO4kCaNuKr2AEAAJoDAAAOAAAAAAAA&#10;AAEAIAAAACQBAABkcnMvZTJvRG9jLnhtbFBLBQYAAAAABgAGAFkBAABuBQAAAAA=&#10;">
              <v:fill on="f" focussize="0,0"/>
              <v:stroke on="f"/>
              <v:imagedata o:title=""/>
              <o:lock v:ext="edit" aspectratio="f"/>
              <v:textbox>
                <w:txbxContent>
                  <w:p>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pPr>
                      <w:jc w:val="left"/>
                      <w:rPr>
                        <w:b w:val="0"/>
                        <w:bCs w:val="0"/>
                        <w:color w:val="1D2089"/>
                        <w:sz w:val="18"/>
                        <w:szCs w:val="18"/>
                      </w:rPr>
                    </w:pPr>
                  </w:p>
                </w:txbxContent>
              </v:textbox>
            </v:shape>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415290</wp:posOffset>
              </wp:positionH>
              <wp:positionV relativeFrom="paragraph">
                <wp:posOffset>-147320</wp:posOffset>
              </wp:positionV>
              <wp:extent cx="1430655" cy="300990"/>
              <wp:effectExtent l="0" t="0" r="0" b="0"/>
              <wp:wrapNone/>
              <wp:docPr id="2" name="文本框 7"/>
              <wp:cNvGraphicFramePr/>
              <a:graphic xmlns:a="http://schemas.openxmlformats.org/drawingml/2006/main">
                <a:graphicData uri="http://schemas.microsoft.com/office/word/2010/wordprocessingShape">
                  <wps:wsp>
                    <wps:cNvSpPr txBox="1"/>
                    <wps:spPr>
                      <a:xfrm>
                        <a:off x="1158240" y="434340"/>
                        <a:ext cx="1430655" cy="300990"/>
                      </a:xfrm>
                      <a:prstGeom prst="rect">
                        <a:avLst/>
                      </a:prstGeom>
                      <a:noFill/>
                      <a:ln>
                        <a:noFill/>
                      </a:ln>
                      <a:effectLst/>
                    </wps:spPr>
                    <wps:txbx>
                      <w:txbxContent>
                        <w:p>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wps:txbx>
                    <wps:bodyPr vert="horz" wrap="square" anchor="t" anchorCtr="0" upright="1"/>
                  </wps:wsp>
                </a:graphicData>
              </a:graphic>
            </wp:anchor>
          </w:drawing>
        </mc:Choice>
        <mc:Fallback>
          <w:pict>
            <v:shape id="文本框 7" o:spid="_x0000_s1026" o:spt="202" type="#_x0000_t202" style="position:absolute;left:0pt;margin-left:32.7pt;margin-top:-11.6pt;height:23.7pt;width:112.65pt;z-index:-251655168;mso-width-relative:page;mso-height-relative:page;" filled="f" stroked="f" coordsize="21600,21600" o:gfxdata="UEsDBAoAAAAAAIdO4kAAAAAAAAAAAAAAAAAEAAAAZHJzL1BLAwQUAAAACACHTuJActl179cAAAAJ&#10;AQAADwAAAGRycy9kb3ducmV2LnhtbE2PwU7DMAyG70i8Q2Qkbluy0A1Wmu4A4gpiwKTdssZrKxqn&#10;arK1vD3mxG62/On39xebyXfijENsAxlYzBUIpCq4lmoDnx8vswcQMVlytguEBn4wwqa8vips7sJI&#10;73jeplpwCMXcGmhS6nMpY9Wgt3EeeiS+HcPgbeJ1qKUb7MjhvpNaqZX0tiX+0Ngenxqsvrcnb+Dr&#10;9bjfZeqtfvbLfgyTkuTX0pjbm4V6BJFwSv8w/OmzOpTsdAgnclF0BlbLjEkDM32nQTCg1+oexIGH&#10;TIMsC3nZoPwFUEsDBBQAAAAIAIdO4kD/9kwM2QEAAJoDAAAOAAAAZHJzL2Uyb0RvYy54bWytU0uO&#10;1DAQ3SNxB8t7OunfMBO1eyRoDRsESAMHcDvljqX4g+3upDkA3IAVG/acq89B2UnPj80sUCSnXC6/&#10;qveqvLrudUsO4IOyhtHppKQEjLC1MjtGv3y+eXVJSYjc1Ly1Bhg9QqDX65cvVp2rYGYb29bgCYKY&#10;UHWO0SZGVxVFEA1oHibWgcFDab3mEbd+V9Sed4iu22JWlhdFZ33tvBUQAno3wyEdEf1zAK2USsDG&#10;ir0GEwdUDy2PSCk0ygW6ztVKCSJ+lDJAJC2jyDTmFZOgvU1rsV7xaue5a5QYS+DPKeEJJ82VwaR3&#10;UBseOdl79Q+UVsLbYGWcCKuLgUhWBFlMyyfa3DbcQeaCUgd3J3r4f7Diw+GTJ6pmdEaJ4Robfvr5&#10;4/Trz+n3d/I6ydO5UGHUrcO42L+xPQ7N2R/QmVj30uv0Rz4knU+Xl7MFSnxkdDHHb9QZ+khEOl/M&#10;y4vlkhKBAfOyvLrKAcU9kPMhvgOrSTIY9djHLC8/vA8Ri8LQc0jKa+yNatvcy9Y8cmDg4IE8DOPt&#10;xGmoPVmx3/Yj0a2tj8gTnwdmbaz/RkmHw8Fo+LrnHijhRqCb0Xg238ZhmvbOq12Dt7I4RcLFluVK&#10;x/FKM/Fwj/bDJ7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LZde/XAAAACQEAAA8AAAAAAAAA&#10;AQAgAAAAIgAAAGRycy9kb3ducmV2LnhtbFBLAQIUABQAAAAIAIdO4kD/9kwM2QEAAJoDAAAOAAAA&#10;AAAAAAEAIAAAACYBAABkcnMvZTJvRG9jLnhtbFBLBQYAAAAABgAGAFkBAABxBQAAAAA=&#10;">
              <v:fill on="f" focussize="0,0"/>
              <v:stroke on="f"/>
              <v:imagedata o:title=""/>
              <o:lock v:ext="edit" aspectratio="f"/>
              <v:textbox>
                <w:txbxContent>
                  <w:p>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v:textbox>
            </v:shape>
          </w:pict>
        </mc:Fallback>
      </mc:AlternateContent>
    </w:r>
    <w:r>
      <w:rPr>
        <w:rFonts w:hint="eastAsia"/>
        <w:sz w:val="22"/>
        <w:szCs w:val="22"/>
      </w:rPr>
      <w:drawing>
        <wp:anchor distT="0" distB="0" distL="114300" distR="114300" simplePos="0" relativeHeight="251664384" behindDoc="1" locked="0" layoutInCell="1" allowOverlap="1">
          <wp:simplePos x="0" y="0"/>
          <wp:positionH relativeFrom="column">
            <wp:posOffset>33655</wp:posOffset>
          </wp:positionH>
          <wp:positionV relativeFrom="paragraph">
            <wp:posOffset>-140970</wp:posOffset>
          </wp:positionV>
          <wp:extent cx="484505" cy="464185"/>
          <wp:effectExtent l="0" t="0" r="10795" b="12065"/>
          <wp:wrapThrough wrapText="bothSides">
            <wp:wrapPolygon>
              <wp:start x="21592" y="-2"/>
              <wp:lineTo x="0" y="0"/>
              <wp:lineTo x="0" y="21600"/>
              <wp:lineTo x="21592" y="21602"/>
              <wp:lineTo x="8" y="21602"/>
              <wp:lineTo x="21600" y="21600"/>
              <wp:lineTo x="21600" y="0"/>
              <wp:lineTo x="8" y="-2"/>
              <wp:lineTo x="21592" y="-2"/>
            </wp:wrapPolygon>
          </wp:wrapThrough>
          <wp:docPr id="4" name="图片 6"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中博LOGO"/>
                  <pic:cNvPicPr>
                    <a:picLocks noChangeAspect="1"/>
                  </pic:cNvPicPr>
                </pic:nvPicPr>
                <pic:blipFill>
                  <a:blip r:embed="rId1"/>
                  <a:srcRect l="7359" r="4639"/>
                  <a:stretch>
                    <a:fillRect/>
                  </a:stretch>
                </pic:blipFill>
                <pic:spPr>
                  <a:xfrm>
                    <a:off x="0" y="0"/>
                    <a:ext cx="484505" cy="464185"/>
                  </a:xfrm>
                  <a:prstGeom prst="rect">
                    <a:avLst/>
                  </a:prstGeom>
                  <a:noFill/>
                  <a:ln>
                    <a:noFill/>
                  </a:ln>
                </pic:spPr>
              </pic:pic>
            </a:graphicData>
          </a:graphic>
        </wp:anchor>
      </w:drawing>
    </w:r>
    <w:r>
      <w:rPr>
        <w:rFonts w:hint="eastAsia"/>
        <w:sz w:val="22"/>
        <w:szCs w:val="22"/>
      </w:rPr>
      <w:t xml:space="preserve"> </w:t>
    </w:r>
    <w:r>
      <w:rPr>
        <w:rFonts w:hint="eastAsia"/>
      </w:rPr>
      <w:t xml:space="preserve">           </w:t>
    </w:r>
    <w:r>
      <w:rPr>
        <w:rFonts w:hint="eastAsia"/>
        <w:lang w:val="en-US" w:eastAsia="zh-CN"/>
      </w:rPr>
      <w:t xml:space="preserve">         </w:t>
    </w:r>
  </w:p>
  <w:p>
    <w:pPr>
      <w:pStyle w:val="17"/>
      <w:ind w:firstLine="1620" w:firstLineChars="900"/>
      <w:jc w:val="both"/>
      <w:rPr>
        <w:rFonts w:hint="default" w:eastAsia="仿宋_GB2312"/>
        <w:sz w:val="24"/>
        <w:szCs w:val="24"/>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623513188" o:spid="_x0000_s4099" o:spt="136" type="#_x0000_t136" style="position:absolute;left:0pt;height:133.45pt;width:533.9pt;mso-position-horizontal:center;mso-position-horizontal-relative:margin;mso-position-vertical:center;mso-position-vertical-relative:margin;rotation:20643840f;z-index:-251657216;mso-width-relative:page;mso-height-relative:page;" fillcolor="#D8D8D8" filled="t" stroked="f" coordsize="21600,21600" o:allowincell="f">
          <v:path/>
          <v:fill on="t" opacity="32768f" focussize="0,0"/>
          <v:stroke on="f"/>
          <v:imagedata o:title=""/>
          <o:lock v:ext="edit"/>
          <v:textpath on="t" fitshape="t" fitpath="t" trim="t" xscale="f" string="微标认证"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890" w:firstLineChars="900"/>
      <w:jc w:val="both"/>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column">
                <wp:posOffset>498475</wp:posOffset>
              </wp:positionH>
              <wp:positionV relativeFrom="paragraph">
                <wp:posOffset>131445</wp:posOffset>
              </wp:positionV>
              <wp:extent cx="1566545" cy="282575"/>
              <wp:effectExtent l="0" t="0" r="0" b="0"/>
              <wp:wrapNone/>
              <wp:docPr id="6" name="文本框 6"/>
              <wp:cNvGraphicFramePr/>
              <a:graphic xmlns:a="http://schemas.openxmlformats.org/drawingml/2006/main">
                <a:graphicData uri="http://schemas.microsoft.com/office/word/2010/wordprocessingShape">
                  <wps:wsp>
                    <wps:cNvSpPr txBox="1"/>
                    <wps:spPr>
                      <a:xfrm>
                        <a:off x="1203325" y="627380"/>
                        <a:ext cx="1566545" cy="282575"/>
                      </a:xfrm>
                      <a:prstGeom prst="rect">
                        <a:avLst/>
                      </a:prstGeom>
                      <a:noFill/>
                      <a:ln>
                        <a:noFill/>
                      </a:ln>
                      <a:effectLst/>
                    </wps:spPr>
                    <wps:txbx>
                      <w:txbxContent>
                        <w:p>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pPr>
                            <w:jc w:val="left"/>
                            <w:rPr>
                              <w:b w:val="0"/>
                              <w:bCs w:val="0"/>
                              <w:color w:val="1D2089"/>
                              <w:sz w:val="18"/>
                              <w:szCs w:val="18"/>
                            </w:rPr>
                          </w:pPr>
                        </w:p>
                      </w:txbxContent>
                    </wps:txbx>
                    <wps:bodyPr vert="horz" wrap="square" anchor="t" anchorCtr="0" upright="1"/>
                  </wps:wsp>
                </a:graphicData>
              </a:graphic>
            </wp:anchor>
          </w:drawing>
        </mc:Choice>
        <mc:Fallback>
          <w:pict>
            <v:shape id="_x0000_s1026" o:spid="_x0000_s1026" o:spt="202" type="#_x0000_t202" style="position:absolute;left:0pt;margin-left:39.25pt;margin-top:10.35pt;height:22.25pt;width:123.35pt;z-index:251663360;mso-width-relative:page;mso-height-relative:page;" filled="f" stroked="f" coordsize="21600,21600" o:gfxdata="UEsDBAoAAAAAAIdO4kAAAAAAAAAAAAAAAAAEAAAAZHJzL1BLAwQUAAAACACHTuJA0hpS/tYAAAAI&#10;AQAADwAAAGRycy9kb3ducmV2LnhtbE2PzU7DMBCE70i8g7VI3KjdQNoSsukBxBVE+ZG4ufE2iYjX&#10;Uew24e1ZTnAarWY08225nX2vTjTGLjDCcmFAEdfBddwgvL0+Xm1AxWTZ2T4wIXxThG11flbawoWJ&#10;X+i0S42SEo6FRWhTGgqtY92St3ERBmLxDmH0Nsk5NtqNdpJy3+vMmJX2tmNZaO1A9y3VX7ujR3h/&#10;Onx+3Jjn5sHnwxRmo9nfasTLi6W5A5VoTn9h+MUXdKiEaR+O7KLqEdabXJIImVmDEv86yzNQe4SV&#10;qK5K/f+B6gdQSwMEFAAAAAgAh07iQCBbKS/YAQAAmgMAAA4AAABkcnMvZTJvRG9jLnhtbK1TwY7T&#10;MBC9I/EPlu802ZRkq6jpSlAtFwRICx/gOk5jKfYYj9ukfAD8AScu3PmufgfjJF2W5bIHLs54Zvxm&#10;3pvJ+mYwHTsqjxpsxa8WKWfKSqi13Vf808fbFyvOMAhbiw6sqvhJIb/ZPH+27l2pMmihq5VnBGKx&#10;7F3F2xBcmSQoW2UELsApS8EGvBGBrn6f1F70hG66JEvTIunB186DVIjk3U5BPiP6pwBC02iptiAP&#10;RtkwoXrViUCUsNUO+WbstmmUDO+bBlVgXcWJaRhPKkL2Lp7JZi3KvReu1XJuQTylhUecjNCWit5D&#10;bUUQ7OD1P1BGSw8ITVhIMMlEZFSEWFylj7S5a4VTIxeSGt296Pj/YOW74wfPdF3xgjMrDA38/P3b&#10;+cev88+vrIjy9A5LyrpzlBeGVzDQ0lz8SM7Iemi8iV/iw2I8S5fLLOfsRLDZ9XI166yGwGSM50WR&#10;v6S4pIRsleXXeURM/gA5j+GNAsOiUXFPcxzlFce3GKbUS0qsa+FWd904y87+5SDMyaPGZZhfR05T&#10;79EKw26Yie6gPhFP+j2oagv+C2c9LUfF8fNBeMWZsJLcFQ8X83WYtungvN639GoUJ4m4NLKR1Lxe&#10;cSce3sl++Et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GlL+1gAAAAgBAAAPAAAAAAAAAAEA&#10;IAAAACIAAABkcnMvZG93bnJldi54bWxQSwECFAAUAAAACACHTuJAIFspL9gBAACaAwAADgAAAAAA&#10;AAABACAAAAAlAQAAZHJzL2Uyb0RvYy54bWxQSwUGAAAAAAYABgBZAQAAbwUAAAAA&#10;">
              <v:fill on="f" focussize="0,0"/>
              <v:stroke on="f"/>
              <v:imagedata o:title=""/>
              <o:lock v:ext="edit" aspectratio="f"/>
              <v:textbox>
                <w:txbxContent>
                  <w:p>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pPr>
                      <w:jc w:val="left"/>
                      <w:rPr>
                        <w:b w:val="0"/>
                        <w:bCs w:val="0"/>
                        <w:color w:val="1D2089"/>
                        <w:sz w:val="18"/>
                        <w:szCs w:val="18"/>
                      </w:rPr>
                    </w:pPr>
                  </w:p>
                </w:txbxContent>
              </v:textbox>
            </v:shape>
          </w:pict>
        </mc:Fallback>
      </mc:AlternateContent>
    </w:r>
    <w:r>
      <w:rPr>
        <w:sz w:val="21"/>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-135890</wp:posOffset>
              </wp:positionV>
              <wp:extent cx="1430655" cy="300990"/>
              <wp:effectExtent l="0" t="0" r="0" b="0"/>
              <wp:wrapNone/>
              <wp:docPr id="7" name="文本框 7"/>
              <wp:cNvGraphicFramePr/>
              <a:graphic xmlns:a="http://schemas.openxmlformats.org/drawingml/2006/main">
                <a:graphicData uri="http://schemas.microsoft.com/office/word/2010/wordprocessingShape">
                  <wps:wsp>
                    <wps:cNvSpPr txBox="1"/>
                    <wps:spPr>
                      <a:xfrm>
                        <a:off x="1158240" y="434340"/>
                        <a:ext cx="1430655" cy="300990"/>
                      </a:xfrm>
                      <a:prstGeom prst="rect">
                        <a:avLst/>
                      </a:prstGeom>
                      <a:noFill/>
                      <a:ln>
                        <a:noFill/>
                      </a:ln>
                      <a:effectLst/>
                    </wps:spPr>
                    <wps:txbx>
                      <w:txbxContent>
                        <w:p>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wps:txbx>
                    <wps:bodyPr vert="horz" wrap="square" anchor="t" anchorCtr="0" upright="1"/>
                  </wps:wsp>
                </a:graphicData>
              </a:graphic>
            </wp:anchor>
          </w:drawing>
        </mc:Choice>
        <mc:Fallback>
          <w:pict>
            <v:shape id="_x0000_s1026" o:spid="_x0000_s1026" o:spt="202" type="#_x0000_t202" style="position:absolute;left:0pt;margin-left:35.15pt;margin-top:-10.7pt;height:23.7pt;width:112.65pt;z-index:-251656192;mso-width-relative:page;mso-height-relative:page;" filled="f" stroked="f" coordsize="21600,21600" o:gfxdata="UEsDBAoAAAAAAIdO4kAAAAAAAAAAAAAAAAAEAAAAZHJzL1BLAwQUAAAACACHTuJAOUlXxdgAAAAJ&#10;AQAADwAAAGRycy9kb3ducmV2LnhtbE2PTU/DMAyG70j7D5GRuG1Jy1ZYabrDEFcQ40PiljVeW9E4&#10;VZOt5d/jnbabLT96/bzFZnKdOOEQWk8akoUCgVR521Kt4fPjZf4IIkRD1nSeUMMfBtiUs5vC5NaP&#10;9I6nXawFh1DIjYYmxj6XMlQNOhMWvkfi28EPzkReh1rawYwc7jqZKpVJZ1riD43pcdtg9bs7Og1f&#10;r4ef76V6q5/dqh/9pCS5tdT67jZRTyAiTvECw1mf1aFkp70/kg2i0/Cg7pnUME+TJQgG0vUqA7Hn&#10;IVMgy0JeNyj/AVBLAwQUAAAACACHTuJAcEZgWtoBAACaAwAADgAAAGRycy9lMm9Eb2MueG1srVNL&#10;jtQwEN0jcQer9nTSv/lE7R4JWsMGAdLAAdyO3bEUf7DdnTQHgBuwYsN+ztXnoOykh2HYzAJFcsrl&#10;8qt6r8qrm1635CB8UNZQmE5KIMJwWyuzo/D50+2rKyAhMlOz1hpB4SgC3Kxfvlh1rhIz29i2Fp4g&#10;iAlV5yg0MbqqKAJvhGZhYp0weCit1yzi1u+K2rMO0XVbzMryouisr523XISA3s1wCCOifw6glVJx&#10;sbF8r4WJA6oXLYtIKTTKBVjnaqUUPH6QMohIWgrINOYVk6C9TWuxXrFq55lrFB9LYM8p4QknzZTB&#10;pA9QGxYZ2Xv1D5RW3NtgZZxwq4uBSFYEWUzLJ9rcNcyJzAWlDu5B9PD/YPn7w0dPVE3hEohhGht+&#10;+vH99PP+9OsbuUzydC5UGHXnMC72r22PQ3P2B3Qm1r30Ov2RD0nn0+XVbIESHyks5viNOos+Ep7O&#10;F/PyYrkEwjFgXpbX1zmg+APkfIhvhdUkGRQ89jHLyw7vQsSiMPQckvIae6vaNveyNX85MHDwiDwM&#10;4+3Eaag9WbHf9iPRra2PyBOfB2ZtrP8KpMPhoBC+7JkXQJjh6KYQz+abOEzT3nm1a/BWFqdIuNiy&#10;XOk4XmkmHu/Rfvyk1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UlXxdgAAAAJAQAADwAAAAAA&#10;AAABACAAAAAiAAAAZHJzL2Rvd25yZXYueG1sUEsBAhQAFAAAAAgAh07iQHBGYFraAQAAmgMAAA4A&#10;AAAAAAAAAQAgAAAAJwEAAGRycy9lMm9Eb2MueG1sUEsFBgAAAAAGAAYAWQEAAHMFAAAAAA==&#10;">
              <v:fill on="f" focussize="0,0"/>
              <v:stroke on="f"/>
              <v:imagedata o:title=""/>
              <o:lock v:ext="edit" aspectratio="f"/>
              <v:textbox>
                <w:txbxContent>
                  <w:p>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v:textbox>
            </v:shape>
          </w:pict>
        </mc:Fallback>
      </mc:AlternateContent>
    </w:r>
    <w:r>
      <w:rPr>
        <w:rFonts w:hint="eastAsia"/>
        <w:sz w:val="22"/>
        <w:szCs w:val="22"/>
      </w:rPr>
      <w:drawing>
        <wp:anchor distT="0" distB="0" distL="114300" distR="114300" simplePos="0" relativeHeight="251662336" behindDoc="1" locked="0" layoutInCell="1" allowOverlap="1">
          <wp:simplePos x="0" y="0"/>
          <wp:positionH relativeFrom="column">
            <wp:posOffset>33655</wp:posOffset>
          </wp:positionH>
          <wp:positionV relativeFrom="paragraph">
            <wp:posOffset>-106045</wp:posOffset>
          </wp:positionV>
          <wp:extent cx="484505" cy="464185"/>
          <wp:effectExtent l="0" t="0" r="10795" b="12065"/>
          <wp:wrapThrough wrapText="bothSides">
            <wp:wrapPolygon>
              <wp:start x="21592" y="-2"/>
              <wp:lineTo x="0" y="0"/>
              <wp:lineTo x="0" y="21600"/>
              <wp:lineTo x="21592" y="21602"/>
              <wp:lineTo x="8" y="21602"/>
              <wp:lineTo x="21600" y="21600"/>
              <wp:lineTo x="21600" y="0"/>
              <wp:lineTo x="8" y="-2"/>
              <wp:lineTo x="21592" y="-2"/>
            </wp:wrapPolygon>
          </wp:wrapThrough>
          <wp:docPr id="3" name="图片 6"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中博LOGO"/>
                  <pic:cNvPicPr>
                    <a:picLocks noChangeAspect="1"/>
                  </pic:cNvPicPr>
                </pic:nvPicPr>
                <pic:blipFill>
                  <a:blip r:embed="rId1"/>
                  <a:srcRect l="7359" r="4639"/>
                  <a:stretch>
                    <a:fillRect/>
                  </a:stretch>
                </pic:blipFill>
                <pic:spPr>
                  <a:xfrm>
                    <a:off x="0" y="0"/>
                    <a:ext cx="484505" cy="464185"/>
                  </a:xfrm>
                  <a:prstGeom prst="rect">
                    <a:avLst/>
                  </a:prstGeom>
                  <a:noFill/>
                  <a:ln>
                    <a:noFill/>
                  </a:ln>
                </pic:spPr>
              </pic:pic>
            </a:graphicData>
          </a:graphic>
        </wp:anchor>
      </w:drawing>
    </w:r>
    <w:r>
      <w:rPr>
        <w:rFonts w:hint="eastAsia"/>
        <w:sz w:val="22"/>
        <w:szCs w:val="22"/>
      </w:rPr>
      <w:t xml:space="preserve"> </w:t>
    </w:r>
    <w:r>
      <w:rPr>
        <w:rFonts w:hint="eastAsia"/>
      </w:rPr>
      <w:t xml:space="preserve">           </w:t>
    </w:r>
  </w:p>
  <w:p>
    <w:pPr>
      <w:pStyle w:val="17"/>
      <w:ind w:firstLine="1620" w:firstLineChars="900"/>
      <w:jc w:val="both"/>
      <w:rPr>
        <w:rFonts w:eastAsia="仿宋_GB2312"/>
        <w:sz w:val="24"/>
        <w:szCs w:val="24"/>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Times New Roman" w:hAnsi="Times New Roman" w:eastAsia="仿宋_GB2312" w:cs="Times New Roman"/>
        <w:sz w:val="24"/>
        <w:szCs w:val="24"/>
        <w:lang w:val="en-US" w:eastAsia="zh-CN"/>
      </w:rPr>
      <w:t>合同</w:t>
    </w:r>
    <w:r>
      <w:rPr>
        <w:rFonts w:ascii="Times New Roman" w:hAnsi="Times New Roman" w:eastAsia="仿宋_GB2312" w:cs="Times New Roman"/>
        <w:sz w:val="24"/>
        <w:szCs w:val="24"/>
      </w:rPr>
      <w:t>编</w:t>
    </w:r>
    <w:r>
      <w:rPr>
        <w:rFonts w:eastAsia="仿宋_GB2312"/>
        <w:sz w:val="24"/>
        <w:szCs w:val="24"/>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0"/>
      <w:numFmt w:val="decimal"/>
      <w:pStyle w:val="3"/>
      <w:lvlText w:val="%1"/>
      <w:legacy w:legacy="1" w:legacySpace="0" w:legacyIndent="0"/>
      <w:lvlJc w:val="left"/>
      <w:rPr>
        <w:rFonts w:hint="eastAsia" w:ascii="宋体" w:eastAsia="宋体"/>
      </w:rPr>
    </w:lvl>
    <w:lvl w:ilvl="1" w:tentative="0">
      <w:start w:val="0"/>
      <w:numFmt w:val="decimal"/>
      <w:pStyle w:val="4"/>
      <w:lvlText w:val="%2"/>
      <w:legacy w:legacy="1" w:legacySpace="0" w:legacyIndent="0"/>
      <w:lvlJc w:val="left"/>
      <w:rPr>
        <w:rFonts w:hint="default" w:ascii="Times New Roman" w:hAnsi="Times New Roman"/>
      </w:rPr>
    </w:lvl>
    <w:lvl w:ilvl="2" w:tentative="0">
      <w:start w:val="0"/>
      <w:numFmt w:val="decimal"/>
      <w:pStyle w:val="5"/>
      <w:lvlText w:val="%3"/>
      <w:legacy w:legacy="1" w:legacySpace="0" w:legacyIndent="0"/>
      <w:lvlJc w:val="left"/>
      <w:rPr>
        <w:rFonts w:hint="default" w:ascii="Times New Roman" w:hAnsi="Times New Roman"/>
      </w:rPr>
    </w:lvl>
    <w:lvl w:ilvl="3" w:tentative="0">
      <w:start w:val="0"/>
      <w:numFmt w:val="decimal"/>
      <w:pStyle w:val="6"/>
      <w:lvlText w:val="%4"/>
      <w:legacy w:legacy="1" w:legacySpace="0" w:legacyIndent="0"/>
      <w:lvlJc w:val="left"/>
      <w:rPr>
        <w:rFonts w:hint="default" w:ascii="Times New Roman" w:hAnsi="Times New Roman"/>
      </w:rPr>
    </w:lvl>
    <w:lvl w:ilvl="4" w:tentative="0">
      <w:start w:val="0"/>
      <w:numFmt w:val="decimal"/>
      <w:pStyle w:val="7"/>
      <w:lvlText w:val="%5"/>
      <w:legacy w:legacy="1" w:legacySpace="0" w:legacyIndent="0"/>
      <w:lvlJc w:val="left"/>
      <w:rPr>
        <w:rFonts w:hint="default" w:ascii="Times New Roman" w:hAnsi="Times New Roman"/>
      </w:rPr>
    </w:lvl>
    <w:lvl w:ilvl="5" w:tentative="0">
      <w:start w:val="0"/>
      <w:numFmt w:val="decimal"/>
      <w:pStyle w:val="8"/>
      <w:lvlText w:val="%6"/>
      <w:legacy w:legacy="1" w:legacySpace="0" w:legacyIndent="0"/>
      <w:lvlJc w:val="left"/>
      <w:rPr>
        <w:rFonts w:hint="default" w:ascii="Times New Roman" w:hAnsi="Times New Roman"/>
      </w:rPr>
    </w:lvl>
    <w:lvl w:ilvl="6" w:tentative="0">
      <w:start w:val="0"/>
      <w:numFmt w:val="decimal"/>
      <w:pStyle w:val="9"/>
      <w:lvlText w:val="%7"/>
      <w:legacy w:legacy="1" w:legacySpace="0" w:legacyIndent="0"/>
      <w:lvlJc w:val="left"/>
      <w:rPr>
        <w:rFonts w:hint="default" w:ascii="Times New Roman" w:hAnsi="Times New Roman"/>
      </w:rPr>
    </w:lvl>
    <w:lvl w:ilvl="7" w:tentative="0">
      <w:start w:val="0"/>
      <w:numFmt w:val="decimal"/>
      <w:pStyle w:val="10"/>
      <w:lvlText w:val="%8"/>
      <w:legacy w:legacy="1" w:legacySpace="0" w:legacyIndent="0"/>
      <w:lvlJc w:val="left"/>
      <w:rPr>
        <w:rFonts w:hint="default" w:ascii="Times New Roman" w:hAnsi="Times New Roman"/>
      </w:rPr>
    </w:lvl>
    <w:lvl w:ilvl="8" w:tentative="0">
      <w:start w:val="0"/>
      <w:numFmt w:val="decimal"/>
      <w:pStyle w:val="11"/>
      <w:lvlText w:val="%9"/>
      <w:legacy w:legacy="1" w:legacySpace="0" w:legacyIndent="0"/>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695642"/>
    <w:rsid w:val="00010732"/>
    <w:rsid w:val="0001295B"/>
    <w:rsid w:val="00012B24"/>
    <w:rsid w:val="000205B9"/>
    <w:rsid w:val="00032A1C"/>
    <w:rsid w:val="00056E49"/>
    <w:rsid w:val="00057EFF"/>
    <w:rsid w:val="00063156"/>
    <w:rsid w:val="00071762"/>
    <w:rsid w:val="000728C0"/>
    <w:rsid w:val="00087882"/>
    <w:rsid w:val="000B209A"/>
    <w:rsid w:val="000B5703"/>
    <w:rsid w:val="000C4A6F"/>
    <w:rsid w:val="000D3FDD"/>
    <w:rsid w:val="000E0908"/>
    <w:rsid w:val="000F42A0"/>
    <w:rsid w:val="00111964"/>
    <w:rsid w:val="00111A73"/>
    <w:rsid w:val="00140FC1"/>
    <w:rsid w:val="001474E7"/>
    <w:rsid w:val="00171EC2"/>
    <w:rsid w:val="00183A86"/>
    <w:rsid w:val="00197559"/>
    <w:rsid w:val="001B71E2"/>
    <w:rsid w:val="001D14E9"/>
    <w:rsid w:val="00211106"/>
    <w:rsid w:val="00216287"/>
    <w:rsid w:val="00251172"/>
    <w:rsid w:val="002646AC"/>
    <w:rsid w:val="00265382"/>
    <w:rsid w:val="00277977"/>
    <w:rsid w:val="002864B2"/>
    <w:rsid w:val="00291617"/>
    <w:rsid w:val="0029602E"/>
    <w:rsid w:val="002A5D97"/>
    <w:rsid w:val="002C7FE3"/>
    <w:rsid w:val="002F040B"/>
    <w:rsid w:val="002F4EAA"/>
    <w:rsid w:val="00302CD0"/>
    <w:rsid w:val="00303EFA"/>
    <w:rsid w:val="00310FDA"/>
    <w:rsid w:val="003139AF"/>
    <w:rsid w:val="00314C43"/>
    <w:rsid w:val="003235FD"/>
    <w:rsid w:val="00327341"/>
    <w:rsid w:val="0032742B"/>
    <w:rsid w:val="003375C9"/>
    <w:rsid w:val="003467D6"/>
    <w:rsid w:val="003544E1"/>
    <w:rsid w:val="00360628"/>
    <w:rsid w:val="00373CF3"/>
    <w:rsid w:val="00384B8F"/>
    <w:rsid w:val="003C5357"/>
    <w:rsid w:val="003C5BAB"/>
    <w:rsid w:val="003F0704"/>
    <w:rsid w:val="004239F7"/>
    <w:rsid w:val="004544F5"/>
    <w:rsid w:val="004560A1"/>
    <w:rsid w:val="00470EA4"/>
    <w:rsid w:val="00476768"/>
    <w:rsid w:val="00480D4D"/>
    <w:rsid w:val="004843B0"/>
    <w:rsid w:val="004A3CA7"/>
    <w:rsid w:val="004A570A"/>
    <w:rsid w:val="004C5BED"/>
    <w:rsid w:val="004D2A87"/>
    <w:rsid w:val="004F1120"/>
    <w:rsid w:val="004F413B"/>
    <w:rsid w:val="00517889"/>
    <w:rsid w:val="00564D89"/>
    <w:rsid w:val="005673A6"/>
    <w:rsid w:val="005734AB"/>
    <w:rsid w:val="005878B0"/>
    <w:rsid w:val="00590AA3"/>
    <w:rsid w:val="00594C6F"/>
    <w:rsid w:val="0059580D"/>
    <w:rsid w:val="005A29CC"/>
    <w:rsid w:val="005C5136"/>
    <w:rsid w:val="005C5295"/>
    <w:rsid w:val="005D07AB"/>
    <w:rsid w:val="00615C91"/>
    <w:rsid w:val="00641370"/>
    <w:rsid w:val="006418CC"/>
    <w:rsid w:val="006513C0"/>
    <w:rsid w:val="0066039E"/>
    <w:rsid w:val="00670034"/>
    <w:rsid w:val="00671774"/>
    <w:rsid w:val="00683097"/>
    <w:rsid w:val="006927CE"/>
    <w:rsid w:val="00694D09"/>
    <w:rsid w:val="00695642"/>
    <w:rsid w:val="006D1654"/>
    <w:rsid w:val="006E4034"/>
    <w:rsid w:val="006F58B4"/>
    <w:rsid w:val="006F7225"/>
    <w:rsid w:val="0070650B"/>
    <w:rsid w:val="00732D11"/>
    <w:rsid w:val="00740730"/>
    <w:rsid w:val="0074671B"/>
    <w:rsid w:val="007508B9"/>
    <w:rsid w:val="007637D3"/>
    <w:rsid w:val="007767BF"/>
    <w:rsid w:val="00777C48"/>
    <w:rsid w:val="00787129"/>
    <w:rsid w:val="0079559A"/>
    <w:rsid w:val="007A1A8F"/>
    <w:rsid w:val="007A61D9"/>
    <w:rsid w:val="007B1E7A"/>
    <w:rsid w:val="007C2E0F"/>
    <w:rsid w:val="007C37EC"/>
    <w:rsid w:val="007C704A"/>
    <w:rsid w:val="007F171E"/>
    <w:rsid w:val="00801EA0"/>
    <w:rsid w:val="008100FA"/>
    <w:rsid w:val="00817C26"/>
    <w:rsid w:val="00835B5D"/>
    <w:rsid w:val="00850B93"/>
    <w:rsid w:val="00850F5E"/>
    <w:rsid w:val="0085320E"/>
    <w:rsid w:val="00854BF9"/>
    <w:rsid w:val="00856830"/>
    <w:rsid w:val="0086379B"/>
    <w:rsid w:val="00867AB4"/>
    <w:rsid w:val="008B4F96"/>
    <w:rsid w:val="008B73BC"/>
    <w:rsid w:val="008E5557"/>
    <w:rsid w:val="008F356C"/>
    <w:rsid w:val="00904237"/>
    <w:rsid w:val="00911EB9"/>
    <w:rsid w:val="00932E07"/>
    <w:rsid w:val="00945660"/>
    <w:rsid w:val="00960BD4"/>
    <w:rsid w:val="009A1C3A"/>
    <w:rsid w:val="009A26B3"/>
    <w:rsid w:val="009A4FE6"/>
    <w:rsid w:val="009B1DCB"/>
    <w:rsid w:val="009C347F"/>
    <w:rsid w:val="009F78D5"/>
    <w:rsid w:val="00A06DB7"/>
    <w:rsid w:val="00A23121"/>
    <w:rsid w:val="00A25A05"/>
    <w:rsid w:val="00A25DED"/>
    <w:rsid w:val="00A378C6"/>
    <w:rsid w:val="00A57965"/>
    <w:rsid w:val="00A76A34"/>
    <w:rsid w:val="00A77C98"/>
    <w:rsid w:val="00A92A8C"/>
    <w:rsid w:val="00AA1BE2"/>
    <w:rsid w:val="00AA29DF"/>
    <w:rsid w:val="00AA471B"/>
    <w:rsid w:val="00AC6CBC"/>
    <w:rsid w:val="00AC79D4"/>
    <w:rsid w:val="00AE5C4E"/>
    <w:rsid w:val="00AE62A1"/>
    <w:rsid w:val="00AF0EF9"/>
    <w:rsid w:val="00B20E7D"/>
    <w:rsid w:val="00B27E38"/>
    <w:rsid w:val="00B40C14"/>
    <w:rsid w:val="00B41F91"/>
    <w:rsid w:val="00B42651"/>
    <w:rsid w:val="00B448DB"/>
    <w:rsid w:val="00B73A85"/>
    <w:rsid w:val="00B81663"/>
    <w:rsid w:val="00BA1032"/>
    <w:rsid w:val="00BA1A00"/>
    <w:rsid w:val="00BA5111"/>
    <w:rsid w:val="00BB697F"/>
    <w:rsid w:val="00BC646F"/>
    <w:rsid w:val="00BD18AE"/>
    <w:rsid w:val="00BE7C89"/>
    <w:rsid w:val="00BF1886"/>
    <w:rsid w:val="00C13AD0"/>
    <w:rsid w:val="00C203D4"/>
    <w:rsid w:val="00C246B4"/>
    <w:rsid w:val="00C4355A"/>
    <w:rsid w:val="00C55C7C"/>
    <w:rsid w:val="00C60829"/>
    <w:rsid w:val="00C60FB4"/>
    <w:rsid w:val="00C66349"/>
    <w:rsid w:val="00C77E3A"/>
    <w:rsid w:val="00C866EC"/>
    <w:rsid w:val="00C927E1"/>
    <w:rsid w:val="00C92ABC"/>
    <w:rsid w:val="00C940DE"/>
    <w:rsid w:val="00C941E6"/>
    <w:rsid w:val="00C978E7"/>
    <w:rsid w:val="00CA1AE6"/>
    <w:rsid w:val="00CA1E1A"/>
    <w:rsid w:val="00CA2F8C"/>
    <w:rsid w:val="00CC6087"/>
    <w:rsid w:val="00CD16B5"/>
    <w:rsid w:val="00CD68EF"/>
    <w:rsid w:val="00CD74A4"/>
    <w:rsid w:val="00CE2D8C"/>
    <w:rsid w:val="00CE5690"/>
    <w:rsid w:val="00CF1867"/>
    <w:rsid w:val="00CF352D"/>
    <w:rsid w:val="00CF730A"/>
    <w:rsid w:val="00D06D0F"/>
    <w:rsid w:val="00D125E3"/>
    <w:rsid w:val="00D23CDE"/>
    <w:rsid w:val="00D31901"/>
    <w:rsid w:val="00D41C1A"/>
    <w:rsid w:val="00D473E7"/>
    <w:rsid w:val="00D5296C"/>
    <w:rsid w:val="00D573C5"/>
    <w:rsid w:val="00D74533"/>
    <w:rsid w:val="00D8127A"/>
    <w:rsid w:val="00D83757"/>
    <w:rsid w:val="00D8401F"/>
    <w:rsid w:val="00D94CA5"/>
    <w:rsid w:val="00DA61ED"/>
    <w:rsid w:val="00DC3F62"/>
    <w:rsid w:val="00DC631A"/>
    <w:rsid w:val="00E04852"/>
    <w:rsid w:val="00E07A40"/>
    <w:rsid w:val="00E169FF"/>
    <w:rsid w:val="00E20563"/>
    <w:rsid w:val="00E625CC"/>
    <w:rsid w:val="00E8548E"/>
    <w:rsid w:val="00EC0166"/>
    <w:rsid w:val="00EC15CD"/>
    <w:rsid w:val="00EC1C41"/>
    <w:rsid w:val="00EC484D"/>
    <w:rsid w:val="00EE2FC3"/>
    <w:rsid w:val="00EE47A5"/>
    <w:rsid w:val="00F045FD"/>
    <w:rsid w:val="00F06F1B"/>
    <w:rsid w:val="00F30D3F"/>
    <w:rsid w:val="00F33F58"/>
    <w:rsid w:val="00F57813"/>
    <w:rsid w:val="00F60678"/>
    <w:rsid w:val="00F758D8"/>
    <w:rsid w:val="00F84069"/>
    <w:rsid w:val="00F849B5"/>
    <w:rsid w:val="00FA534B"/>
    <w:rsid w:val="00FB0015"/>
    <w:rsid w:val="00FB2170"/>
    <w:rsid w:val="00FB6A06"/>
    <w:rsid w:val="00FC2A04"/>
    <w:rsid w:val="00FE0A30"/>
    <w:rsid w:val="00FE668A"/>
    <w:rsid w:val="00FE6902"/>
    <w:rsid w:val="00FF64EA"/>
    <w:rsid w:val="01422176"/>
    <w:rsid w:val="01541EA9"/>
    <w:rsid w:val="01AB3EF6"/>
    <w:rsid w:val="026E0D49"/>
    <w:rsid w:val="034D1275"/>
    <w:rsid w:val="06DB44D3"/>
    <w:rsid w:val="081B54CF"/>
    <w:rsid w:val="086F564B"/>
    <w:rsid w:val="09572537"/>
    <w:rsid w:val="099C619C"/>
    <w:rsid w:val="09BE25B6"/>
    <w:rsid w:val="09FD75F9"/>
    <w:rsid w:val="0A002BCE"/>
    <w:rsid w:val="0A051F93"/>
    <w:rsid w:val="0AE61DC4"/>
    <w:rsid w:val="0B662F05"/>
    <w:rsid w:val="0B850A82"/>
    <w:rsid w:val="0BE03A80"/>
    <w:rsid w:val="0BF40511"/>
    <w:rsid w:val="0C607954"/>
    <w:rsid w:val="0CEB0B4F"/>
    <w:rsid w:val="0D1F511A"/>
    <w:rsid w:val="0D692839"/>
    <w:rsid w:val="0D7D79B1"/>
    <w:rsid w:val="0DD43405"/>
    <w:rsid w:val="0E7B1BDF"/>
    <w:rsid w:val="0E8C2C83"/>
    <w:rsid w:val="0F515C7A"/>
    <w:rsid w:val="10D65D36"/>
    <w:rsid w:val="12516A7F"/>
    <w:rsid w:val="139C37FA"/>
    <w:rsid w:val="1457163D"/>
    <w:rsid w:val="14691E88"/>
    <w:rsid w:val="14813070"/>
    <w:rsid w:val="14977C8B"/>
    <w:rsid w:val="14E35777"/>
    <w:rsid w:val="14FE5603"/>
    <w:rsid w:val="156A1312"/>
    <w:rsid w:val="157224A6"/>
    <w:rsid w:val="163F682C"/>
    <w:rsid w:val="16483E22"/>
    <w:rsid w:val="16553973"/>
    <w:rsid w:val="168B7662"/>
    <w:rsid w:val="172577D0"/>
    <w:rsid w:val="181E6F8F"/>
    <w:rsid w:val="18697B91"/>
    <w:rsid w:val="19643B73"/>
    <w:rsid w:val="19EF2318"/>
    <w:rsid w:val="1B682381"/>
    <w:rsid w:val="1BF73E3F"/>
    <w:rsid w:val="1C1937F3"/>
    <w:rsid w:val="1C450915"/>
    <w:rsid w:val="1D9734D7"/>
    <w:rsid w:val="1DD957B9"/>
    <w:rsid w:val="1E401394"/>
    <w:rsid w:val="1ECD343F"/>
    <w:rsid w:val="1F1D16D5"/>
    <w:rsid w:val="20EF18FF"/>
    <w:rsid w:val="21221225"/>
    <w:rsid w:val="215C4736"/>
    <w:rsid w:val="21B856E5"/>
    <w:rsid w:val="220C1172"/>
    <w:rsid w:val="22AB4004"/>
    <w:rsid w:val="22ED74BC"/>
    <w:rsid w:val="231D547C"/>
    <w:rsid w:val="23425BAE"/>
    <w:rsid w:val="23447230"/>
    <w:rsid w:val="23BC53C4"/>
    <w:rsid w:val="246D2CF3"/>
    <w:rsid w:val="26566CA3"/>
    <w:rsid w:val="26897C36"/>
    <w:rsid w:val="282027F3"/>
    <w:rsid w:val="28724FB3"/>
    <w:rsid w:val="288527C5"/>
    <w:rsid w:val="28ED2E98"/>
    <w:rsid w:val="29B97ABE"/>
    <w:rsid w:val="2A50295E"/>
    <w:rsid w:val="2AB32B35"/>
    <w:rsid w:val="2BB42846"/>
    <w:rsid w:val="2CB35427"/>
    <w:rsid w:val="2D3C71CA"/>
    <w:rsid w:val="2DBD655D"/>
    <w:rsid w:val="2ECB2EFB"/>
    <w:rsid w:val="2F3445FD"/>
    <w:rsid w:val="2F350375"/>
    <w:rsid w:val="2F711F6F"/>
    <w:rsid w:val="2F7A67EC"/>
    <w:rsid w:val="2FB21F36"/>
    <w:rsid w:val="307C6FA5"/>
    <w:rsid w:val="31264419"/>
    <w:rsid w:val="31BC6B2B"/>
    <w:rsid w:val="32942673"/>
    <w:rsid w:val="32B20E8F"/>
    <w:rsid w:val="32E75E2A"/>
    <w:rsid w:val="32ED3BC5"/>
    <w:rsid w:val="3344580F"/>
    <w:rsid w:val="34120C85"/>
    <w:rsid w:val="346258C9"/>
    <w:rsid w:val="349D6C8F"/>
    <w:rsid w:val="34A16E0A"/>
    <w:rsid w:val="34A71D15"/>
    <w:rsid w:val="3566572C"/>
    <w:rsid w:val="35C26961"/>
    <w:rsid w:val="35C65FB7"/>
    <w:rsid w:val="36A209E6"/>
    <w:rsid w:val="371E0A3C"/>
    <w:rsid w:val="375241BA"/>
    <w:rsid w:val="378E4AC6"/>
    <w:rsid w:val="38435389"/>
    <w:rsid w:val="38B3364E"/>
    <w:rsid w:val="38FD1F03"/>
    <w:rsid w:val="39B215A9"/>
    <w:rsid w:val="39BD78E5"/>
    <w:rsid w:val="3A7E2B9A"/>
    <w:rsid w:val="3A84769B"/>
    <w:rsid w:val="3AEF3ACE"/>
    <w:rsid w:val="3B1039F4"/>
    <w:rsid w:val="3B914B85"/>
    <w:rsid w:val="3C13079F"/>
    <w:rsid w:val="3C5145BA"/>
    <w:rsid w:val="3CD063F9"/>
    <w:rsid w:val="3DEE437D"/>
    <w:rsid w:val="3DEE62BF"/>
    <w:rsid w:val="3E66679D"/>
    <w:rsid w:val="3E960723"/>
    <w:rsid w:val="3F80563C"/>
    <w:rsid w:val="407D392A"/>
    <w:rsid w:val="40F956A6"/>
    <w:rsid w:val="4125649B"/>
    <w:rsid w:val="418E69EB"/>
    <w:rsid w:val="423F438F"/>
    <w:rsid w:val="4359067E"/>
    <w:rsid w:val="445A46AE"/>
    <w:rsid w:val="44B84888"/>
    <w:rsid w:val="45997458"/>
    <w:rsid w:val="45B544DA"/>
    <w:rsid w:val="471C20EE"/>
    <w:rsid w:val="47481D38"/>
    <w:rsid w:val="47A85730"/>
    <w:rsid w:val="47C14A44"/>
    <w:rsid w:val="484F2050"/>
    <w:rsid w:val="4863705A"/>
    <w:rsid w:val="487255ED"/>
    <w:rsid w:val="48D82045"/>
    <w:rsid w:val="48EA3B26"/>
    <w:rsid w:val="49535B70"/>
    <w:rsid w:val="49F83299"/>
    <w:rsid w:val="4A0D3B83"/>
    <w:rsid w:val="4A5D5D84"/>
    <w:rsid w:val="4A9E343E"/>
    <w:rsid w:val="4ACA56B2"/>
    <w:rsid w:val="4B023934"/>
    <w:rsid w:val="4C775F0C"/>
    <w:rsid w:val="4D7A36CB"/>
    <w:rsid w:val="4F440434"/>
    <w:rsid w:val="4F652159"/>
    <w:rsid w:val="4FCF18E0"/>
    <w:rsid w:val="4FFA6D45"/>
    <w:rsid w:val="50A04B4D"/>
    <w:rsid w:val="51840FBC"/>
    <w:rsid w:val="51C74067"/>
    <w:rsid w:val="524F5CF2"/>
    <w:rsid w:val="52E6687C"/>
    <w:rsid w:val="5325232B"/>
    <w:rsid w:val="54742569"/>
    <w:rsid w:val="54B042BE"/>
    <w:rsid w:val="54D2203E"/>
    <w:rsid w:val="55083CB2"/>
    <w:rsid w:val="554C1D82"/>
    <w:rsid w:val="555E7A2A"/>
    <w:rsid w:val="5560589C"/>
    <w:rsid w:val="563517AB"/>
    <w:rsid w:val="565D3B8A"/>
    <w:rsid w:val="56951575"/>
    <w:rsid w:val="57B679F5"/>
    <w:rsid w:val="57E32F75"/>
    <w:rsid w:val="580E7831"/>
    <w:rsid w:val="581806B0"/>
    <w:rsid w:val="584335DA"/>
    <w:rsid w:val="58501BF8"/>
    <w:rsid w:val="59EB4BAC"/>
    <w:rsid w:val="5A0218C9"/>
    <w:rsid w:val="5BF84A80"/>
    <w:rsid w:val="5C877BB2"/>
    <w:rsid w:val="5CC81E4D"/>
    <w:rsid w:val="5CF97539"/>
    <w:rsid w:val="5D4045B7"/>
    <w:rsid w:val="5DA54794"/>
    <w:rsid w:val="5E5B4E53"/>
    <w:rsid w:val="5F053010"/>
    <w:rsid w:val="5F944AC0"/>
    <w:rsid w:val="5FA840A0"/>
    <w:rsid w:val="60CA4511"/>
    <w:rsid w:val="60E70C20"/>
    <w:rsid w:val="614045BF"/>
    <w:rsid w:val="62600C89"/>
    <w:rsid w:val="626D15F8"/>
    <w:rsid w:val="6284511C"/>
    <w:rsid w:val="63870498"/>
    <w:rsid w:val="63D35E18"/>
    <w:rsid w:val="63DF0F92"/>
    <w:rsid w:val="63EF49BB"/>
    <w:rsid w:val="642502E0"/>
    <w:rsid w:val="64FE478A"/>
    <w:rsid w:val="65051FBC"/>
    <w:rsid w:val="650A1380"/>
    <w:rsid w:val="65921AA2"/>
    <w:rsid w:val="672A3F5C"/>
    <w:rsid w:val="682C67D7"/>
    <w:rsid w:val="68646FFA"/>
    <w:rsid w:val="687F3E33"/>
    <w:rsid w:val="68ED5241"/>
    <w:rsid w:val="695B209C"/>
    <w:rsid w:val="69DB153D"/>
    <w:rsid w:val="6B1B7E43"/>
    <w:rsid w:val="6B50067E"/>
    <w:rsid w:val="6B6A5EEA"/>
    <w:rsid w:val="6B874151"/>
    <w:rsid w:val="6BDA4B0E"/>
    <w:rsid w:val="6C1A5F0F"/>
    <w:rsid w:val="6E301E58"/>
    <w:rsid w:val="6F143EC0"/>
    <w:rsid w:val="705F6FB7"/>
    <w:rsid w:val="709C1A26"/>
    <w:rsid w:val="70D30A99"/>
    <w:rsid w:val="71730052"/>
    <w:rsid w:val="73243F55"/>
    <w:rsid w:val="73C51294"/>
    <w:rsid w:val="744C1FB4"/>
    <w:rsid w:val="74583BE2"/>
    <w:rsid w:val="75B3511C"/>
    <w:rsid w:val="75F837C9"/>
    <w:rsid w:val="76300F84"/>
    <w:rsid w:val="763B3A90"/>
    <w:rsid w:val="76C70C9F"/>
    <w:rsid w:val="77182914"/>
    <w:rsid w:val="77CD4BBB"/>
    <w:rsid w:val="77DC6BAC"/>
    <w:rsid w:val="781A76D5"/>
    <w:rsid w:val="782D11B6"/>
    <w:rsid w:val="794C1B10"/>
    <w:rsid w:val="7A2E1215"/>
    <w:rsid w:val="7B2C1BF9"/>
    <w:rsid w:val="7BCC0CE6"/>
    <w:rsid w:val="7C570EF7"/>
    <w:rsid w:val="7CE54755"/>
    <w:rsid w:val="7CF8678F"/>
    <w:rsid w:val="7DD6409E"/>
    <w:rsid w:val="7E6478FC"/>
    <w:rsid w:val="7F0133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28"/>
    <w:qFormat/>
    <w:uiPriority w:val="99"/>
    <w:pPr>
      <w:keepNext/>
      <w:keepLines/>
      <w:numPr>
        <w:ilvl w:val="1"/>
        <w:numId w:val="1"/>
      </w:numPr>
      <w:adjustRightInd w:val="0"/>
      <w:spacing w:before="260" w:after="260" w:line="416" w:lineRule="atLeast"/>
      <w:textAlignment w:val="baseline"/>
      <w:outlineLvl w:val="1"/>
    </w:pPr>
    <w:rPr>
      <w:rFonts w:ascii="Cambria" w:hAnsi="Cambria"/>
      <w:b/>
      <w:bCs/>
      <w:sz w:val="32"/>
      <w:szCs w:val="32"/>
    </w:rPr>
  </w:style>
  <w:style w:type="paragraph" w:styleId="5">
    <w:name w:val="heading 3"/>
    <w:basedOn w:val="1"/>
    <w:next w:val="1"/>
    <w:link w:val="29"/>
    <w:qFormat/>
    <w:uiPriority w:val="99"/>
    <w:pPr>
      <w:keepNext/>
      <w:keepLines/>
      <w:numPr>
        <w:ilvl w:val="2"/>
        <w:numId w:val="1"/>
      </w:numPr>
      <w:adjustRightInd w:val="0"/>
      <w:spacing w:before="260" w:after="260" w:line="416" w:lineRule="atLeast"/>
      <w:textAlignment w:val="baseline"/>
      <w:outlineLvl w:val="2"/>
    </w:pPr>
    <w:rPr>
      <w:b/>
      <w:bCs/>
      <w:sz w:val="32"/>
      <w:szCs w:val="32"/>
    </w:rPr>
  </w:style>
  <w:style w:type="paragraph" w:styleId="6">
    <w:name w:val="heading 4"/>
    <w:basedOn w:val="1"/>
    <w:next w:val="1"/>
    <w:link w:val="30"/>
    <w:qFormat/>
    <w:uiPriority w:val="99"/>
    <w:pPr>
      <w:keepNext/>
      <w:keepLines/>
      <w:numPr>
        <w:ilvl w:val="3"/>
        <w:numId w:val="1"/>
      </w:numPr>
      <w:adjustRightInd w:val="0"/>
      <w:spacing w:before="280" w:after="290" w:line="376" w:lineRule="atLeast"/>
      <w:textAlignment w:val="baseline"/>
      <w:outlineLvl w:val="3"/>
    </w:pPr>
    <w:rPr>
      <w:rFonts w:ascii="Cambria" w:hAnsi="Cambria"/>
      <w:b/>
      <w:bCs/>
      <w:sz w:val="28"/>
      <w:szCs w:val="28"/>
    </w:rPr>
  </w:style>
  <w:style w:type="paragraph" w:styleId="7">
    <w:name w:val="heading 5"/>
    <w:basedOn w:val="1"/>
    <w:next w:val="1"/>
    <w:link w:val="31"/>
    <w:qFormat/>
    <w:uiPriority w:val="99"/>
    <w:pPr>
      <w:keepNext/>
      <w:keepLines/>
      <w:numPr>
        <w:ilvl w:val="4"/>
        <w:numId w:val="1"/>
      </w:numPr>
      <w:adjustRightInd w:val="0"/>
      <w:spacing w:before="280" w:after="290" w:line="376" w:lineRule="atLeast"/>
      <w:textAlignment w:val="baseline"/>
      <w:outlineLvl w:val="4"/>
    </w:pPr>
    <w:rPr>
      <w:b/>
      <w:bCs/>
      <w:sz w:val="28"/>
      <w:szCs w:val="28"/>
    </w:rPr>
  </w:style>
  <w:style w:type="paragraph" w:styleId="8">
    <w:name w:val="heading 6"/>
    <w:basedOn w:val="1"/>
    <w:next w:val="1"/>
    <w:link w:val="32"/>
    <w:qFormat/>
    <w:uiPriority w:val="99"/>
    <w:pPr>
      <w:keepNext/>
      <w:keepLines/>
      <w:numPr>
        <w:ilvl w:val="5"/>
        <w:numId w:val="1"/>
      </w:numPr>
      <w:adjustRightInd w:val="0"/>
      <w:spacing w:before="240" w:after="64" w:line="320" w:lineRule="atLeast"/>
      <w:textAlignment w:val="baseline"/>
      <w:outlineLvl w:val="5"/>
    </w:pPr>
    <w:rPr>
      <w:rFonts w:ascii="Cambria" w:hAnsi="Cambria"/>
      <w:b/>
      <w:bCs/>
      <w:sz w:val="24"/>
      <w:szCs w:val="24"/>
    </w:rPr>
  </w:style>
  <w:style w:type="paragraph" w:styleId="9">
    <w:name w:val="heading 7"/>
    <w:basedOn w:val="1"/>
    <w:next w:val="1"/>
    <w:link w:val="33"/>
    <w:qFormat/>
    <w:uiPriority w:val="99"/>
    <w:pPr>
      <w:keepNext/>
      <w:keepLines/>
      <w:numPr>
        <w:ilvl w:val="6"/>
        <w:numId w:val="1"/>
      </w:numPr>
      <w:adjustRightInd w:val="0"/>
      <w:spacing w:before="240" w:after="64" w:line="320" w:lineRule="atLeast"/>
      <w:textAlignment w:val="baseline"/>
      <w:outlineLvl w:val="6"/>
    </w:pPr>
    <w:rPr>
      <w:b/>
      <w:bCs/>
      <w:sz w:val="24"/>
      <w:szCs w:val="24"/>
    </w:rPr>
  </w:style>
  <w:style w:type="paragraph" w:styleId="10">
    <w:name w:val="heading 8"/>
    <w:basedOn w:val="1"/>
    <w:next w:val="1"/>
    <w:link w:val="34"/>
    <w:qFormat/>
    <w:uiPriority w:val="99"/>
    <w:pPr>
      <w:keepNext/>
      <w:keepLines/>
      <w:numPr>
        <w:ilvl w:val="7"/>
        <w:numId w:val="1"/>
      </w:numPr>
      <w:adjustRightInd w:val="0"/>
      <w:spacing w:before="240" w:after="64" w:line="320" w:lineRule="atLeast"/>
      <w:textAlignment w:val="baseline"/>
      <w:outlineLvl w:val="7"/>
    </w:pPr>
    <w:rPr>
      <w:rFonts w:ascii="Cambria" w:hAnsi="Cambria"/>
      <w:sz w:val="24"/>
      <w:szCs w:val="24"/>
    </w:rPr>
  </w:style>
  <w:style w:type="paragraph" w:styleId="11">
    <w:name w:val="heading 9"/>
    <w:basedOn w:val="1"/>
    <w:next w:val="1"/>
    <w:link w:val="35"/>
    <w:qFormat/>
    <w:uiPriority w:val="99"/>
    <w:pPr>
      <w:keepNext/>
      <w:keepLines/>
      <w:numPr>
        <w:ilvl w:val="8"/>
        <w:numId w:val="1"/>
      </w:numPr>
      <w:adjustRightInd w:val="0"/>
      <w:spacing w:before="240" w:after="64" w:line="320" w:lineRule="atLeast"/>
      <w:textAlignment w:val="baseline"/>
      <w:outlineLvl w:val="8"/>
    </w:pPr>
    <w:rPr>
      <w:rFonts w:ascii="Cambria" w:hAnsi="Cambria"/>
    </w:rPr>
  </w:style>
  <w:style w:type="character" w:default="1" w:styleId="22">
    <w:name w:val="Default Paragraph Font"/>
    <w:semiHidden/>
    <w:qFormat/>
    <w:uiPriority w:val="99"/>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style>
  <w:style w:type="paragraph" w:styleId="12">
    <w:name w:val="annotation text"/>
    <w:basedOn w:val="1"/>
    <w:link w:val="36"/>
    <w:semiHidden/>
    <w:qFormat/>
    <w:uiPriority w:val="99"/>
    <w:pPr>
      <w:jc w:val="left"/>
    </w:pPr>
    <w:rPr>
      <w:kern w:val="0"/>
    </w:rPr>
  </w:style>
  <w:style w:type="paragraph" w:styleId="13">
    <w:name w:val="Body Text Indent"/>
    <w:basedOn w:val="1"/>
    <w:link w:val="37"/>
    <w:qFormat/>
    <w:uiPriority w:val="99"/>
    <w:pPr>
      <w:ind w:left="-141"/>
    </w:pPr>
  </w:style>
  <w:style w:type="paragraph" w:styleId="14">
    <w:name w:val="Body Text Indent 2"/>
    <w:basedOn w:val="1"/>
    <w:link w:val="38"/>
    <w:qFormat/>
    <w:uiPriority w:val="99"/>
    <w:pPr>
      <w:adjustRightInd w:val="0"/>
      <w:snapToGrid w:val="0"/>
      <w:spacing w:line="320" w:lineRule="exact"/>
      <w:ind w:left="-21" w:leftChars="-10" w:firstLine="21" w:firstLineChars="10"/>
    </w:pPr>
  </w:style>
  <w:style w:type="paragraph" w:styleId="15">
    <w:name w:val="Balloon Text"/>
    <w:basedOn w:val="1"/>
    <w:link w:val="39"/>
    <w:semiHidden/>
    <w:qFormat/>
    <w:uiPriority w:val="99"/>
    <w:rPr>
      <w:sz w:val="2"/>
      <w:szCs w:val="2"/>
    </w:rPr>
  </w:style>
  <w:style w:type="paragraph" w:styleId="16">
    <w:name w:val="footer"/>
    <w:basedOn w:val="1"/>
    <w:link w:val="40"/>
    <w:qFormat/>
    <w:uiPriority w:val="99"/>
    <w:pPr>
      <w:tabs>
        <w:tab w:val="center" w:pos="4153"/>
        <w:tab w:val="right" w:pos="8306"/>
      </w:tabs>
      <w:adjustRightInd w:val="0"/>
      <w:spacing w:line="240" w:lineRule="atLeast"/>
      <w:jc w:val="left"/>
      <w:textAlignment w:val="baseline"/>
    </w:pPr>
    <w:rPr>
      <w:sz w:val="18"/>
      <w:szCs w:val="18"/>
    </w:rPr>
  </w:style>
  <w:style w:type="paragraph" w:styleId="17">
    <w:name w:val="header"/>
    <w:basedOn w:val="1"/>
    <w:link w:val="41"/>
    <w:qFormat/>
    <w:uiPriority w:val="99"/>
    <w:pPr>
      <w:pBdr>
        <w:bottom w:val="single" w:color="auto" w:sz="6" w:space="1"/>
      </w:pBdr>
      <w:tabs>
        <w:tab w:val="center" w:pos="4153"/>
        <w:tab w:val="right" w:pos="8306"/>
      </w:tabs>
      <w:adjustRightInd w:val="0"/>
      <w:spacing w:line="240" w:lineRule="atLeast"/>
      <w:jc w:val="center"/>
      <w:textAlignment w:val="baseline"/>
    </w:pPr>
    <w:rPr>
      <w:sz w:val="18"/>
      <w:szCs w:val="18"/>
    </w:rPr>
  </w:style>
  <w:style w:type="paragraph" w:styleId="18">
    <w:name w:val="Body Text 2"/>
    <w:basedOn w:val="1"/>
    <w:link w:val="42"/>
    <w:qFormat/>
    <w:uiPriority w:val="99"/>
    <w:pPr>
      <w:spacing w:line="360" w:lineRule="auto"/>
    </w:pPr>
  </w:style>
  <w:style w:type="paragraph" w:styleId="19">
    <w:name w:val="annotation subject"/>
    <w:basedOn w:val="12"/>
    <w:next w:val="12"/>
    <w:link w:val="43"/>
    <w:semiHidden/>
    <w:qFormat/>
    <w:uiPriority w:val="99"/>
    <w:rPr>
      <w:b/>
      <w:bCs/>
    </w:rPr>
  </w:style>
  <w:style w:type="table" w:styleId="21">
    <w:name w:val="Table Grid"/>
    <w:basedOn w:val="20"/>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99"/>
  </w:style>
  <w:style w:type="character" w:styleId="24">
    <w:name w:val="Hyperlink"/>
    <w:unhideWhenUsed/>
    <w:qFormat/>
    <w:locked/>
    <w:uiPriority w:val="99"/>
    <w:rPr>
      <w:color w:val="0000FF"/>
      <w:u w:val="single"/>
    </w:rPr>
  </w:style>
  <w:style w:type="character" w:styleId="25">
    <w:name w:val="annotation reference"/>
    <w:semiHidden/>
    <w:qFormat/>
    <w:uiPriority w:val="99"/>
    <w:rPr>
      <w:sz w:val="21"/>
      <w:szCs w:val="21"/>
    </w:rPr>
  </w:style>
  <w:style w:type="character" w:customStyle="1" w:styleId="26">
    <w:name w:val="正文文本 字符"/>
    <w:link w:val="2"/>
    <w:semiHidden/>
    <w:qFormat/>
    <w:locked/>
    <w:uiPriority w:val="99"/>
    <w:rPr>
      <w:kern w:val="2"/>
      <w:sz w:val="21"/>
      <w:szCs w:val="21"/>
    </w:rPr>
  </w:style>
  <w:style w:type="character" w:customStyle="1" w:styleId="27">
    <w:name w:val="标题 1 字符"/>
    <w:link w:val="3"/>
    <w:qFormat/>
    <w:locked/>
    <w:uiPriority w:val="99"/>
    <w:rPr>
      <w:b/>
      <w:bCs/>
      <w:kern w:val="44"/>
      <w:sz w:val="44"/>
      <w:szCs w:val="44"/>
    </w:rPr>
  </w:style>
  <w:style w:type="character" w:customStyle="1" w:styleId="28">
    <w:name w:val="标题 2 字符"/>
    <w:link w:val="4"/>
    <w:semiHidden/>
    <w:qFormat/>
    <w:locked/>
    <w:uiPriority w:val="99"/>
    <w:rPr>
      <w:rFonts w:ascii="Cambria" w:hAnsi="Cambria" w:eastAsia="宋体" w:cs="Cambria"/>
      <w:b/>
      <w:bCs/>
      <w:kern w:val="2"/>
      <w:sz w:val="32"/>
      <w:szCs w:val="32"/>
    </w:rPr>
  </w:style>
  <w:style w:type="character" w:customStyle="1" w:styleId="29">
    <w:name w:val="标题 3 字符"/>
    <w:link w:val="5"/>
    <w:semiHidden/>
    <w:qFormat/>
    <w:locked/>
    <w:uiPriority w:val="99"/>
    <w:rPr>
      <w:b/>
      <w:bCs/>
      <w:kern w:val="2"/>
      <w:sz w:val="32"/>
      <w:szCs w:val="32"/>
    </w:rPr>
  </w:style>
  <w:style w:type="character" w:customStyle="1" w:styleId="30">
    <w:name w:val="标题 4 字符"/>
    <w:link w:val="6"/>
    <w:semiHidden/>
    <w:qFormat/>
    <w:locked/>
    <w:uiPriority w:val="99"/>
    <w:rPr>
      <w:rFonts w:ascii="Cambria" w:hAnsi="Cambria" w:eastAsia="宋体" w:cs="Cambria"/>
      <w:b/>
      <w:bCs/>
      <w:kern w:val="2"/>
      <w:sz w:val="28"/>
      <w:szCs w:val="28"/>
    </w:rPr>
  </w:style>
  <w:style w:type="character" w:customStyle="1" w:styleId="31">
    <w:name w:val="标题 5 字符"/>
    <w:link w:val="7"/>
    <w:semiHidden/>
    <w:qFormat/>
    <w:locked/>
    <w:uiPriority w:val="99"/>
    <w:rPr>
      <w:b/>
      <w:bCs/>
      <w:kern w:val="2"/>
      <w:sz w:val="28"/>
      <w:szCs w:val="28"/>
    </w:rPr>
  </w:style>
  <w:style w:type="character" w:customStyle="1" w:styleId="32">
    <w:name w:val="标题 6 字符"/>
    <w:link w:val="8"/>
    <w:semiHidden/>
    <w:qFormat/>
    <w:locked/>
    <w:uiPriority w:val="99"/>
    <w:rPr>
      <w:rFonts w:ascii="Cambria" w:hAnsi="Cambria" w:eastAsia="宋体" w:cs="Cambria"/>
      <w:b/>
      <w:bCs/>
      <w:kern w:val="2"/>
      <w:sz w:val="24"/>
      <w:szCs w:val="24"/>
    </w:rPr>
  </w:style>
  <w:style w:type="character" w:customStyle="1" w:styleId="33">
    <w:name w:val="标题 7 字符"/>
    <w:link w:val="9"/>
    <w:semiHidden/>
    <w:qFormat/>
    <w:locked/>
    <w:uiPriority w:val="99"/>
    <w:rPr>
      <w:b/>
      <w:bCs/>
      <w:kern w:val="2"/>
      <w:sz w:val="24"/>
      <w:szCs w:val="24"/>
    </w:rPr>
  </w:style>
  <w:style w:type="character" w:customStyle="1" w:styleId="34">
    <w:name w:val="标题 8 字符"/>
    <w:link w:val="10"/>
    <w:semiHidden/>
    <w:qFormat/>
    <w:locked/>
    <w:uiPriority w:val="99"/>
    <w:rPr>
      <w:rFonts w:ascii="Cambria" w:hAnsi="Cambria" w:eastAsia="宋体" w:cs="Cambria"/>
      <w:kern w:val="2"/>
      <w:sz w:val="24"/>
      <w:szCs w:val="24"/>
    </w:rPr>
  </w:style>
  <w:style w:type="character" w:customStyle="1" w:styleId="35">
    <w:name w:val="标题 9 字符"/>
    <w:link w:val="11"/>
    <w:semiHidden/>
    <w:qFormat/>
    <w:locked/>
    <w:uiPriority w:val="99"/>
    <w:rPr>
      <w:rFonts w:ascii="Cambria" w:hAnsi="Cambria" w:eastAsia="宋体" w:cs="Cambria"/>
      <w:kern w:val="2"/>
      <w:sz w:val="21"/>
      <w:szCs w:val="21"/>
    </w:rPr>
  </w:style>
  <w:style w:type="character" w:customStyle="1" w:styleId="36">
    <w:name w:val="批注文字 字符"/>
    <w:link w:val="12"/>
    <w:semiHidden/>
    <w:qFormat/>
    <w:locked/>
    <w:uiPriority w:val="99"/>
    <w:rPr>
      <w:sz w:val="21"/>
      <w:szCs w:val="21"/>
    </w:rPr>
  </w:style>
  <w:style w:type="character" w:customStyle="1" w:styleId="37">
    <w:name w:val="正文文本缩进 字符"/>
    <w:link w:val="13"/>
    <w:semiHidden/>
    <w:qFormat/>
    <w:locked/>
    <w:uiPriority w:val="99"/>
    <w:rPr>
      <w:kern w:val="2"/>
      <w:sz w:val="21"/>
      <w:szCs w:val="21"/>
    </w:rPr>
  </w:style>
  <w:style w:type="character" w:customStyle="1" w:styleId="38">
    <w:name w:val="正文文本缩进 2 字符"/>
    <w:link w:val="14"/>
    <w:semiHidden/>
    <w:qFormat/>
    <w:locked/>
    <w:uiPriority w:val="99"/>
    <w:rPr>
      <w:kern w:val="2"/>
      <w:sz w:val="21"/>
      <w:szCs w:val="21"/>
    </w:rPr>
  </w:style>
  <w:style w:type="character" w:customStyle="1" w:styleId="39">
    <w:name w:val="批注框文本 字符"/>
    <w:link w:val="15"/>
    <w:semiHidden/>
    <w:qFormat/>
    <w:locked/>
    <w:uiPriority w:val="99"/>
    <w:rPr>
      <w:kern w:val="2"/>
      <w:sz w:val="2"/>
      <w:szCs w:val="2"/>
    </w:rPr>
  </w:style>
  <w:style w:type="character" w:customStyle="1" w:styleId="40">
    <w:name w:val="页脚 字符"/>
    <w:link w:val="16"/>
    <w:semiHidden/>
    <w:qFormat/>
    <w:locked/>
    <w:uiPriority w:val="99"/>
    <w:rPr>
      <w:kern w:val="2"/>
      <w:sz w:val="18"/>
      <w:szCs w:val="18"/>
    </w:rPr>
  </w:style>
  <w:style w:type="character" w:customStyle="1" w:styleId="41">
    <w:name w:val="页眉 字符"/>
    <w:link w:val="17"/>
    <w:semiHidden/>
    <w:qFormat/>
    <w:locked/>
    <w:uiPriority w:val="99"/>
    <w:rPr>
      <w:kern w:val="2"/>
      <w:sz w:val="18"/>
      <w:szCs w:val="18"/>
    </w:rPr>
  </w:style>
  <w:style w:type="character" w:customStyle="1" w:styleId="42">
    <w:name w:val="正文文本 2 字符"/>
    <w:link w:val="18"/>
    <w:semiHidden/>
    <w:qFormat/>
    <w:locked/>
    <w:uiPriority w:val="99"/>
    <w:rPr>
      <w:kern w:val="2"/>
      <w:sz w:val="21"/>
      <w:szCs w:val="21"/>
    </w:rPr>
  </w:style>
  <w:style w:type="character" w:customStyle="1" w:styleId="43">
    <w:name w:val="批注主题 字符"/>
    <w:link w:val="19"/>
    <w:semiHidden/>
    <w:qFormat/>
    <w:locked/>
    <w:uiPriority w:val="99"/>
    <w:rPr>
      <w:b/>
      <w:bCs/>
      <w:sz w:val="21"/>
      <w:szCs w:val="21"/>
    </w:rPr>
  </w:style>
  <w:style w:type="paragraph" w:customStyle="1" w:styleId="44">
    <w:name w:val="Default"/>
    <w:qFormat/>
    <w:uiPriority w:val="99"/>
    <w:pPr>
      <w:widowControl w:val="0"/>
      <w:autoSpaceDE w:val="0"/>
      <w:autoSpaceDN w:val="0"/>
      <w:adjustRightInd w:val="0"/>
    </w:pPr>
    <w:rPr>
      <w:rFonts w:ascii="宋体" w:hAnsi="Times New Roman" w:eastAsia="宋体" w:cs="宋体"/>
      <w:lang w:val="en-US" w:eastAsia="zh-CN" w:bidi="ar-SA"/>
    </w:rPr>
  </w:style>
  <w:style w:type="character" w:customStyle="1" w:styleId="45">
    <w:name w:val="word"/>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5115</Words>
  <Characters>5420</Characters>
  <Lines>40</Lines>
  <Paragraphs>11</Paragraphs>
  <TotalTime>5</TotalTime>
  <ScaleCrop>false</ScaleCrop>
  <LinksUpToDate>false</LinksUpToDate>
  <CharactersWithSpaces>5836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2011-07-21T01:08:00Z</dcterms:created>
  <dc:creator>刘静/质量管理部/体系认证部/CQC/aqsiq</dc:creator>
  <cp:lastModifiedBy>胥龙海</cp:lastModifiedBy>
  <cp:lastPrinted>2022-04-02T03:32:00Z</cp:lastPrinted>
  <dcterms:modified xsi:type="dcterms:W3CDTF">2023-08-19T05:00:00Z</dcterms:modified>
  <dc:title>管 理 体 系 认 证 合 同 </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D7B74A9A5E6643F6BF1FC83AB8C6E01E_13</vt:lpwstr>
  </property>
</Properties>
</file>