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DB9BC">
      <w:pPr>
        <w:spacing w:line="360" w:lineRule="auto"/>
        <w:ind w:right="-588" w:rightChars="-280"/>
        <w:rPr>
          <w:rFonts w:eastAsia="黑体"/>
          <w:b/>
          <w:color w:val="auto"/>
          <w:sz w:val="48"/>
        </w:rPr>
      </w:pPr>
      <w:bookmarkStart w:id="0" w:name="_GoBack"/>
      <w:bookmarkEnd w:id="0"/>
    </w:p>
    <w:p w14:paraId="330EF88F">
      <w:pPr>
        <w:spacing w:line="360" w:lineRule="auto"/>
        <w:ind w:right="-588" w:rightChars="-280"/>
        <w:rPr>
          <w:rFonts w:hint="eastAsia" w:eastAsia="黑体"/>
          <w:b/>
          <w:color w:val="auto"/>
          <w:sz w:val="48"/>
          <w:lang w:eastAsia="zh-CN"/>
        </w:rPr>
      </w:pPr>
    </w:p>
    <w:p w14:paraId="585AD673">
      <w:pPr>
        <w:spacing w:line="360" w:lineRule="auto"/>
        <w:ind w:right="-588" w:rightChars="-280" w:firstLine="733" w:firstLineChars="141"/>
        <w:rPr>
          <w:rFonts w:hint="eastAsia" w:eastAsia="黑体"/>
          <w:color w:val="auto"/>
          <w:sz w:val="52"/>
          <w:szCs w:val="52"/>
        </w:rPr>
      </w:pPr>
      <w:r>
        <w:rPr>
          <w:rFonts w:hint="eastAsia" w:eastAsia="黑体"/>
          <w:color w:val="auto"/>
          <w:sz w:val="52"/>
          <w:szCs w:val="52"/>
          <w:lang w:eastAsia="zh-CN"/>
        </w:rPr>
        <w:drawing>
          <wp:anchor distT="0" distB="0" distL="114300" distR="114300" simplePos="0" relativeHeight="251664384" behindDoc="0" locked="0" layoutInCell="1" allowOverlap="1">
            <wp:simplePos x="0" y="0"/>
            <wp:positionH relativeFrom="column">
              <wp:posOffset>1880235</wp:posOffset>
            </wp:positionH>
            <wp:positionV relativeFrom="paragraph">
              <wp:posOffset>5080</wp:posOffset>
            </wp:positionV>
            <wp:extent cx="2962910" cy="2498090"/>
            <wp:effectExtent l="0" t="0" r="8890" b="16510"/>
            <wp:wrapNone/>
            <wp:docPr id="10" name="图片 10"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ZBCC-03-JS-001.JPG"/>
                    <pic:cNvPicPr>
                      <a:picLocks noChangeAspect="1"/>
                    </pic:cNvPicPr>
                  </pic:nvPicPr>
                  <pic:blipFill>
                    <a:blip r:embed="rId11"/>
                    <a:stretch>
                      <a:fillRect/>
                    </a:stretch>
                  </pic:blipFill>
                  <pic:spPr>
                    <a:xfrm>
                      <a:off x="0" y="0"/>
                      <a:ext cx="2962910" cy="2498090"/>
                    </a:xfrm>
                    <a:prstGeom prst="rect">
                      <a:avLst/>
                    </a:prstGeom>
                    <a:gradFill>
                      <a:gsLst>
                        <a:gs pos="27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pic:spPr>
                </pic:pic>
              </a:graphicData>
            </a:graphic>
          </wp:anchor>
        </w:drawing>
      </w:r>
      <w:r>
        <w:rPr>
          <w:rFonts w:hint="eastAsia" w:eastAsia="黑体"/>
          <w:color w:val="auto"/>
          <w:sz w:val="52"/>
          <w:szCs w:val="52"/>
        </w:rPr>
        <w:t xml:space="preserve">   </w:t>
      </w:r>
    </w:p>
    <w:p w14:paraId="374B787B">
      <w:pPr>
        <w:spacing w:line="360" w:lineRule="auto"/>
        <w:ind w:right="-588" w:rightChars="-280" w:firstLine="733" w:firstLineChars="141"/>
        <w:rPr>
          <w:rFonts w:hint="eastAsia" w:eastAsia="黑体"/>
          <w:color w:val="auto"/>
          <w:sz w:val="52"/>
          <w:szCs w:val="52"/>
        </w:rPr>
      </w:pPr>
    </w:p>
    <w:p w14:paraId="01FD31C0">
      <w:pPr>
        <w:spacing w:line="360" w:lineRule="auto"/>
        <w:ind w:right="-588" w:rightChars="-280" w:firstLine="733" w:firstLineChars="141"/>
        <w:rPr>
          <w:rFonts w:hint="eastAsia" w:eastAsia="黑体"/>
          <w:color w:val="auto"/>
          <w:sz w:val="52"/>
          <w:szCs w:val="52"/>
        </w:rPr>
      </w:pPr>
    </w:p>
    <w:p w14:paraId="1C422623">
      <w:pPr>
        <w:spacing w:line="360" w:lineRule="auto"/>
        <w:ind w:right="-588" w:rightChars="-280" w:firstLine="733" w:firstLineChars="141"/>
        <w:rPr>
          <w:rFonts w:hint="eastAsia" w:eastAsia="黑体"/>
          <w:color w:val="auto"/>
          <w:sz w:val="52"/>
          <w:szCs w:val="52"/>
        </w:rPr>
      </w:pPr>
    </w:p>
    <w:p w14:paraId="5EF252AD">
      <w:pPr>
        <w:spacing w:line="360" w:lineRule="auto"/>
        <w:ind w:right="-588" w:rightChars="-280" w:firstLine="592" w:firstLineChars="141"/>
        <w:rPr>
          <w:rFonts w:ascii="宋体" w:hAnsi="宋体"/>
          <w:color w:val="auto"/>
          <w:spacing w:val="30"/>
          <w:sz w:val="36"/>
        </w:rPr>
      </w:pPr>
      <w:r>
        <w:rPr>
          <w:rFonts w:ascii="宋体" w:hAnsi="宋体"/>
          <w:color w:val="auto"/>
          <w:spacing w:val="30"/>
          <w:sz w:val="36"/>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4" name="直接连接符 4"/>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3360;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hRrcAAAADgEAAA8AAAAAAAAAAQAgAAAAIgAAAGRycy9kb3du&#10;cmV2LnhtbFBLAQIUABQAAAAIAIdO4kAalUZF+wEAAO0DAAAOAAAAAAAAAAEAIAAAACsBAABkcnMv&#10;ZTJvRG9jLnhtbFBLBQYAAAAABgAGAFkBAACYBQAAAAA=&#10;">
                <v:fill on="f" focussize="0,0"/>
                <v:stroke weight="4.5pt" color="#000000" linestyle="thinThick" joinstyle="round"/>
                <v:imagedata o:title=""/>
                <o:lock v:ext="edit" aspectratio="f"/>
              </v:line>
            </w:pict>
          </mc:Fallback>
        </mc:AlternateContent>
      </w:r>
    </w:p>
    <w:p w14:paraId="600C76A9">
      <w:pPr>
        <w:tabs>
          <w:tab w:val="left" w:pos="9112"/>
        </w:tabs>
        <w:spacing w:line="360" w:lineRule="auto"/>
        <w:ind w:right="-29" w:rightChars="-14"/>
        <w:jc w:val="center"/>
        <w:rPr>
          <w:rFonts w:hint="default" w:eastAsia="宋体"/>
          <w:color w:val="auto"/>
          <w:sz w:val="28"/>
          <w:lang w:val="en-US" w:eastAsia="zh-CN"/>
        </w:rPr>
      </w:pPr>
      <w:r>
        <w:rPr>
          <w:rFonts w:hint="eastAsia" w:eastAsia="楷体_GB2312"/>
          <w:b/>
          <w:color w:val="auto"/>
          <w:spacing w:val="20"/>
          <w:sz w:val="84"/>
          <w:lang w:val="en-US" w:eastAsia="zh-CN"/>
        </w:rPr>
        <w:t>审核员工作手册</w:t>
      </w:r>
    </w:p>
    <w:p w14:paraId="62236F2B">
      <w:pPr>
        <w:keepNext w:val="0"/>
        <w:keepLines w:val="0"/>
        <w:pageBreakBefore w:val="0"/>
        <w:widowControl/>
        <w:kinsoku w:val="0"/>
        <w:wordWrap/>
        <w:overflowPunct/>
        <w:topLinePunct w:val="0"/>
        <w:autoSpaceDE w:val="0"/>
        <w:autoSpaceDN w:val="0"/>
        <w:bidi w:val="0"/>
        <w:adjustRightInd w:val="0"/>
        <w:snapToGrid w:val="0"/>
        <w:spacing w:line="360" w:lineRule="auto"/>
        <w:ind w:right="-588" w:rightChars="-280"/>
        <w:jc w:val="center"/>
        <w:textAlignment w:val="baseline"/>
        <w:rPr>
          <w:rFonts w:hint="default" w:eastAsia="宋体"/>
          <w:color w:val="auto"/>
          <w:sz w:val="28"/>
          <w:lang w:val="en-US" w:eastAsia="zh-CN"/>
        </w:rPr>
      </w:pPr>
    </w:p>
    <w:p w14:paraId="6CC6A4C0">
      <w:pPr>
        <w:spacing w:line="480" w:lineRule="auto"/>
        <w:ind w:right="-29" w:rightChars="-14"/>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rPr>
        <w:t>文件</w:t>
      </w:r>
      <w:r>
        <w:rPr>
          <w:rFonts w:hint="eastAsia" w:ascii="宋体" w:hAnsi="宋体" w:cs="宋体"/>
          <w:b/>
          <w:color w:val="auto"/>
          <w:sz w:val="30"/>
          <w:szCs w:val="30"/>
          <w:lang w:val="en-US" w:eastAsia="zh-CN"/>
        </w:rPr>
        <w:t>编</w:t>
      </w:r>
      <w:r>
        <w:rPr>
          <w:rFonts w:hint="eastAsia" w:ascii="宋体" w:hAnsi="宋体" w:eastAsia="宋体" w:cs="宋体"/>
          <w:b/>
          <w:color w:val="auto"/>
          <w:sz w:val="30"/>
          <w:szCs w:val="30"/>
        </w:rPr>
        <w:t>号</w:t>
      </w:r>
      <w:r>
        <w:rPr>
          <w:rFonts w:hint="eastAsia" w:ascii="宋体" w:hAnsi="宋体" w:cs="宋体"/>
          <w:b/>
          <w:color w:val="auto"/>
          <w:sz w:val="30"/>
          <w:szCs w:val="30"/>
          <w:lang w:val="en-US" w:eastAsia="zh-CN"/>
        </w:rPr>
        <w:t xml:space="preserve"> </w:t>
      </w:r>
      <w:r>
        <w:rPr>
          <w:rFonts w:hint="eastAsia" w:ascii="宋体" w:hAnsi="宋体" w:eastAsia="宋体" w:cs="宋体"/>
          <w:b/>
          <w:color w:val="auto"/>
          <w:sz w:val="30"/>
          <w:szCs w:val="30"/>
        </w:rPr>
        <w:t>：</w:t>
      </w:r>
      <w:r>
        <w:rPr>
          <w:rFonts w:hint="eastAsia" w:ascii="宋体" w:hAnsi="宋体" w:eastAsia="宋体" w:cs="宋体"/>
          <w:b/>
          <w:color w:val="auto"/>
          <w:sz w:val="30"/>
          <w:szCs w:val="30"/>
          <w:lang w:val="en-US" w:eastAsia="zh-CN"/>
        </w:rPr>
        <w:t>ZBCC</w:t>
      </w:r>
      <w:r>
        <w:rPr>
          <w:rFonts w:hint="eastAsia" w:ascii="宋体" w:hAnsi="宋体" w:eastAsia="宋体" w:cs="宋体"/>
          <w:b/>
          <w:color w:val="auto"/>
          <w:sz w:val="30"/>
          <w:szCs w:val="30"/>
        </w:rPr>
        <w:t>-</w:t>
      </w:r>
      <w:r>
        <w:rPr>
          <w:rFonts w:hint="eastAsia" w:ascii="宋体" w:hAnsi="宋体" w:eastAsia="宋体" w:cs="宋体"/>
          <w:b/>
          <w:color w:val="auto"/>
          <w:sz w:val="30"/>
          <w:szCs w:val="30"/>
          <w:lang w:val="en-US" w:eastAsia="zh-CN"/>
        </w:rPr>
        <w:t>ZY</w:t>
      </w:r>
      <w:r>
        <w:rPr>
          <w:rFonts w:hint="eastAsia" w:ascii="宋体" w:hAnsi="宋体" w:eastAsia="宋体" w:cs="宋体"/>
          <w:b/>
          <w:color w:val="auto"/>
          <w:sz w:val="30"/>
          <w:szCs w:val="30"/>
        </w:rPr>
        <w:t>-0</w:t>
      </w:r>
      <w:r>
        <w:rPr>
          <w:rFonts w:hint="eastAsia" w:ascii="宋体" w:hAnsi="宋体" w:eastAsia="宋体" w:cs="宋体"/>
          <w:b/>
          <w:color w:val="auto"/>
          <w:sz w:val="30"/>
          <w:szCs w:val="30"/>
          <w:lang w:val="en-US" w:eastAsia="zh-CN"/>
        </w:rPr>
        <w:t>28</w:t>
      </w:r>
    </w:p>
    <w:p w14:paraId="1338BA85">
      <w:pPr>
        <w:spacing w:line="480" w:lineRule="auto"/>
        <w:ind w:right="-29" w:rightChars="-14" w:firstLine="4518" w:firstLineChars="1500"/>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版本</w:t>
      </w:r>
      <w:r>
        <w:rPr>
          <w:rFonts w:hint="eastAsia" w:ascii="宋体" w:hAnsi="宋体" w:eastAsia="宋体" w:cs="宋体"/>
          <w:b/>
          <w:color w:val="auto"/>
          <w:sz w:val="30"/>
          <w:szCs w:val="30"/>
          <w:lang w:val="en-US" w:eastAsia="zh-CN"/>
        </w:rPr>
        <w:t>/修订</w:t>
      </w:r>
      <w:r>
        <w:rPr>
          <w:rFonts w:hint="eastAsia" w:ascii="宋体" w:hAnsi="宋体" w:eastAsia="宋体" w:cs="宋体"/>
          <w:b/>
          <w:color w:val="auto"/>
          <w:sz w:val="30"/>
          <w:szCs w:val="30"/>
        </w:rPr>
        <w:t>：</w:t>
      </w:r>
      <w:r>
        <w:rPr>
          <w:rFonts w:hint="eastAsia" w:ascii="宋体" w:hAnsi="宋体" w:eastAsia="宋体" w:cs="宋体"/>
          <w:b/>
          <w:color w:val="auto"/>
          <w:sz w:val="30"/>
          <w:szCs w:val="30"/>
          <w:lang w:val="en-US" w:eastAsia="zh-CN"/>
        </w:rPr>
        <w:t>A/0</w:t>
      </w:r>
    </w:p>
    <w:p w14:paraId="47D55215">
      <w:pPr>
        <w:spacing w:line="480" w:lineRule="auto"/>
        <w:ind w:right="-29" w:rightChars="-14" w:firstLine="3600" w:firstLineChars="1500"/>
        <w:rPr>
          <w:rFonts w:hint="eastAsia" w:ascii="宋体" w:hAnsi="宋体" w:eastAsia="宋体" w:cs="宋体"/>
          <w:b/>
          <w:color w:val="auto"/>
          <w:sz w:val="30"/>
          <w:szCs w:val="30"/>
          <w:lang w:val="en-US" w:eastAsia="zh-CN"/>
        </w:rPr>
      </w:pPr>
      <w:r>
        <w:rPr>
          <w:rFonts w:hint="eastAsia" w:cs="宋体" w:asciiTheme="minorEastAsia" w:hAnsiTheme="minorEastAsia" w:eastAsiaTheme="minorEastAsia"/>
          <w:b w:val="0"/>
          <w:bCs/>
          <w:color w:val="auto"/>
          <w:kern w:val="0"/>
          <w:sz w:val="24"/>
          <w:lang w:eastAsia="zh-CN"/>
        </w:rPr>
        <w:drawing>
          <wp:anchor distT="0" distB="0" distL="114300" distR="114300" simplePos="0" relativeHeight="251665408" behindDoc="0" locked="0" layoutInCell="1" allowOverlap="1">
            <wp:simplePos x="0" y="0"/>
            <wp:positionH relativeFrom="column">
              <wp:posOffset>3620135</wp:posOffset>
            </wp:positionH>
            <wp:positionV relativeFrom="paragraph">
              <wp:posOffset>433705</wp:posOffset>
            </wp:positionV>
            <wp:extent cx="638810" cy="413385"/>
            <wp:effectExtent l="0" t="0" r="8890" b="5715"/>
            <wp:wrapNone/>
            <wp:docPr id="8" name="图片 8" descr="5999d8d056402e5636207a271bc3e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999d8d056402e5636207a271bc3ee9"/>
                    <pic:cNvPicPr>
                      <a:picLocks noChangeAspect="1"/>
                    </pic:cNvPicPr>
                  </pic:nvPicPr>
                  <pic:blipFill>
                    <a:blip r:embed="rId12"/>
                    <a:srcRect l="8621" t="20652" r="7471"/>
                    <a:stretch>
                      <a:fillRect/>
                    </a:stretch>
                  </pic:blipFill>
                  <pic:spPr>
                    <a:xfrm>
                      <a:off x="0" y="0"/>
                      <a:ext cx="638810" cy="413385"/>
                    </a:xfrm>
                    <a:prstGeom prst="rect">
                      <a:avLst/>
                    </a:prstGeom>
                  </pic:spPr>
                </pic:pic>
              </a:graphicData>
            </a:graphic>
          </wp:anchor>
        </w:drawing>
      </w:r>
    </w:p>
    <w:p w14:paraId="16CEB495">
      <w:pPr>
        <w:spacing w:line="480" w:lineRule="auto"/>
        <w:ind w:right="-29" w:rightChars="-14" w:firstLine="3915" w:firstLineChars="1300"/>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drawing>
          <wp:anchor distT="0" distB="0" distL="114300" distR="114300" simplePos="0" relativeHeight="251666432" behindDoc="0" locked="0" layoutInCell="1" allowOverlap="1">
            <wp:simplePos x="0" y="0"/>
            <wp:positionH relativeFrom="column">
              <wp:posOffset>3663950</wp:posOffset>
            </wp:positionH>
            <wp:positionV relativeFrom="paragraph">
              <wp:posOffset>478790</wp:posOffset>
            </wp:positionV>
            <wp:extent cx="781685" cy="269875"/>
            <wp:effectExtent l="0" t="0" r="18415" b="15875"/>
            <wp:wrapNone/>
            <wp:docPr id="9" name="图片 9" descr="470b0ee6f7158c5142444d505645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70b0ee6f7158c5142444d505645b92"/>
                    <pic:cNvPicPr>
                      <a:picLocks noChangeAspect="1"/>
                    </pic:cNvPicPr>
                  </pic:nvPicPr>
                  <pic:blipFill>
                    <a:blip r:embed="rId13"/>
                    <a:srcRect l="4867" r="17418"/>
                    <a:stretch>
                      <a:fillRect/>
                    </a:stretch>
                  </pic:blipFill>
                  <pic:spPr>
                    <a:xfrm>
                      <a:off x="0" y="0"/>
                      <a:ext cx="781685" cy="269875"/>
                    </a:xfrm>
                    <a:prstGeom prst="rect">
                      <a:avLst/>
                    </a:prstGeom>
                  </pic:spPr>
                </pic:pic>
              </a:graphicData>
            </a:graphic>
          </wp:anchor>
        </w:drawing>
      </w:r>
      <w:r>
        <w:rPr>
          <w:rFonts w:hint="eastAsia" w:ascii="宋体" w:hAnsi="宋体" w:cs="宋体"/>
          <w:b/>
          <w:color w:val="auto"/>
          <w:sz w:val="30"/>
          <w:szCs w:val="30"/>
          <w:lang w:val="en-US" w:eastAsia="zh-CN"/>
        </w:rPr>
        <w:t>编     制</w:t>
      </w:r>
      <w:r>
        <w:rPr>
          <w:rFonts w:hint="eastAsia" w:ascii="宋体" w:hAnsi="宋体" w:eastAsia="宋体" w:cs="宋体"/>
          <w:b/>
          <w:color w:val="auto"/>
          <w:sz w:val="30"/>
          <w:szCs w:val="30"/>
        </w:rPr>
        <w:t>：</w:t>
      </w:r>
    </w:p>
    <w:p w14:paraId="55A1759C">
      <w:pPr>
        <w:spacing w:line="480" w:lineRule="auto"/>
        <w:ind w:right="-29" w:rightChars="-14" w:firstLine="3840" w:firstLineChars="1200"/>
        <w:rPr>
          <w:rFonts w:hint="eastAsia" w:ascii="宋体" w:hAnsi="宋体" w:eastAsia="宋体" w:cs="宋体"/>
          <w:b/>
          <w:color w:val="auto"/>
          <w:sz w:val="30"/>
          <w:szCs w:val="30"/>
          <w:lang w:val="en-US" w:eastAsia="zh-CN"/>
        </w:rPr>
      </w:pPr>
      <w:r>
        <w:rPr>
          <w:rFonts w:hint="eastAsia" w:ascii="宋体"/>
          <w:color w:val="auto"/>
          <w:sz w:val="32"/>
          <w:u w:val="single"/>
          <w:lang w:val="en-US" w:eastAsia="zh-CN"/>
        </w:rPr>
        <w:drawing>
          <wp:anchor distT="0" distB="0" distL="114300" distR="114300" simplePos="0" relativeHeight="251667456" behindDoc="0" locked="0" layoutInCell="1" allowOverlap="1">
            <wp:simplePos x="0" y="0"/>
            <wp:positionH relativeFrom="column">
              <wp:posOffset>3638550</wp:posOffset>
            </wp:positionH>
            <wp:positionV relativeFrom="paragraph">
              <wp:posOffset>422910</wp:posOffset>
            </wp:positionV>
            <wp:extent cx="904240" cy="374650"/>
            <wp:effectExtent l="0" t="0" r="10160" b="6350"/>
            <wp:wrapNone/>
            <wp:docPr id="16" name="图片 16" descr="647fbfe25c75dd45ec6aca04d3d5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47fbfe25c75dd45ec6aca04d3d58ef"/>
                    <pic:cNvPicPr>
                      <a:picLocks noChangeAspect="1"/>
                    </pic:cNvPicPr>
                  </pic:nvPicPr>
                  <pic:blipFill>
                    <a:blip r:embed="rId14"/>
                    <a:srcRect t="28294" b="30194"/>
                    <a:stretch>
                      <a:fillRect/>
                    </a:stretch>
                  </pic:blipFill>
                  <pic:spPr>
                    <a:xfrm>
                      <a:off x="0" y="0"/>
                      <a:ext cx="904240" cy="374650"/>
                    </a:xfrm>
                    <a:prstGeom prst="rect">
                      <a:avLst/>
                    </a:prstGeom>
                  </pic:spPr>
                </pic:pic>
              </a:graphicData>
            </a:graphic>
          </wp:anchor>
        </w:drawing>
      </w:r>
      <w:r>
        <w:rPr>
          <w:rFonts w:hint="eastAsia" w:ascii="宋体" w:hAnsi="宋体" w:eastAsia="宋体" w:cs="宋体"/>
          <w:b/>
          <w:color w:val="auto"/>
          <w:sz w:val="30"/>
          <w:szCs w:val="30"/>
        </w:rPr>
        <w:t xml:space="preserve">审    </w:t>
      </w:r>
      <w:r>
        <w:rPr>
          <w:rFonts w:hint="eastAsia" w:ascii="宋体" w:hAnsi="宋体" w:cs="宋体"/>
          <w:b/>
          <w:color w:val="auto"/>
          <w:sz w:val="30"/>
          <w:szCs w:val="30"/>
          <w:lang w:val="en-US" w:eastAsia="zh-CN"/>
        </w:rPr>
        <w:t xml:space="preserve"> </w:t>
      </w:r>
      <w:r>
        <w:rPr>
          <w:rFonts w:hint="eastAsia" w:ascii="宋体" w:hAnsi="宋体" w:eastAsia="宋体" w:cs="宋体"/>
          <w:b/>
          <w:color w:val="auto"/>
          <w:sz w:val="30"/>
          <w:szCs w:val="30"/>
        </w:rPr>
        <w:t>核：</w:t>
      </w:r>
    </w:p>
    <w:p w14:paraId="5BDC17CA">
      <w:pPr>
        <w:spacing w:line="480" w:lineRule="auto"/>
        <w:ind w:right="-29" w:rightChars="-14" w:firstLine="3915" w:firstLineChars="1300"/>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rPr>
        <w:t xml:space="preserve">批   </w:t>
      </w:r>
      <w:r>
        <w:rPr>
          <w:rFonts w:hint="eastAsia" w:ascii="宋体" w:hAnsi="宋体" w:cs="宋体"/>
          <w:b/>
          <w:color w:val="auto"/>
          <w:sz w:val="30"/>
          <w:szCs w:val="30"/>
          <w:lang w:val="en-US" w:eastAsia="zh-CN"/>
        </w:rPr>
        <w:t xml:space="preserve"> </w:t>
      </w:r>
      <w:r>
        <w:rPr>
          <w:rFonts w:hint="eastAsia" w:ascii="宋体" w:hAnsi="宋体" w:eastAsia="宋体" w:cs="宋体"/>
          <w:b/>
          <w:color w:val="auto"/>
          <w:sz w:val="30"/>
          <w:szCs w:val="30"/>
        </w:rPr>
        <w:t xml:space="preserve"> 准：</w:t>
      </w:r>
    </w:p>
    <w:p w14:paraId="3B28DF5D">
      <w:pPr>
        <w:spacing w:line="480" w:lineRule="auto"/>
        <w:ind w:right="-29" w:rightChars="-14"/>
        <w:rPr>
          <w:rFonts w:hint="eastAsia" w:ascii="宋体" w:hAnsi="宋体" w:eastAsia="宋体" w:cs="宋体"/>
          <w:b/>
          <w:color w:val="auto"/>
          <w:sz w:val="30"/>
          <w:szCs w:val="30"/>
          <w:lang w:val="en-US" w:eastAsia="zh-CN"/>
        </w:rPr>
      </w:pPr>
    </w:p>
    <w:p w14:paraId="1CFF7A89">
      <w:pPr>
        <w:jc w:val="center"/>
        <w:rPr>
          <w:rFonts w:hint="eastAsia" w:eastAsia="黑体"/>
          <w:color w:val="auto"/>
          <w:sz w:val="44"/>
          <w:szCs w:val="44"/>
          <w:lang w:eastAsia="zh-CN"/>
        </w:rPr>
      </w:pPr>
      <w:r>
        <w:rPr>
          <w:rFonts w:hint="eastAsia" w:ascii="宋体" w:hAnsi="宋体"/>
          <w:color w:val="auto"/>
          <w:sz w:val="28"/>
          <w:lang w:val="en-US" w:eastAsia="zh-CN"/>
        </w:rPr>
        <w:t xml:space="preserve">   </w:t>
      </w:r>
      <w:r>
        <w:rPr>
          <w:rFonts w:ascii="宋体" w:hAnsi="宋体"/>
          <w:color w:val="auto"/>
          <w:sz w:val="28"/>
        </w:rPr>
        <w:t>20</w:t>
      </w:r>
      <w:r>
        <w:rPr>
          <w:rFonts w:hint="eastAsia" w:ascii="宋体" w:hAnsi="宋体"/>
          <w:color w:val="auto"/>
          <w:sz w:val="28"/>
          <w:lang w:val="en-US" w:eastAsia="zh-CN"/>
        </w:rPr>
        <w:t>23</w:t>
      </w:r>
      <w:r>
        <w:rPr>
          <w:rFonts w:ascii="宋体" w:hAnsi="宋体"/>
          <w:color w:val="auto"/>
          <w:sz w:val="28"/>
        </w:rPr>
        <w:t>年</w:t>
      </w:r>
      <w:r>
        <w:rPr>
          <w:rFonts w:hint="eastAsia" w:ascii="宋体" w:hAnsi="宋体"/>
          <w:color w:val="auto"/>
          <w:sz w:val="28"/>
          <w:lang w:val="en-US" w:eastAsia="zh-CN"/>
        </w:rPr>
        <w:t>05</w:t>
      </w:r>
      <w:r>
        <w:rPr>
          <w:rFonts w:ascii="宋体" w:hAnsi="宋体"/>
          <w:color w:val="auto"/>
          <w:sz w:val="28"/>
        </w:rPr>
        <w:t>月</w:t>
      </w:r>
      <w:r>
        <w:rPr>
          <w:rFonts w:hint="eastAsia" w:ascii="宋体" w:hAnsi="宋体"/>
          <w:color w:val="auto"/>
          <w:sz w:val="28"/>
          <w:lang w:val="en-US" w:eastAsia="zh-CN"/>
        </w:rPr>
        <w:t>10</w:t>
      </w:r>
      <w:r>
        <w:rPr>
          <w:rFonts w:ascii="宋体" w:hAnsi="宋体"/>
          <w:color w:val="auto"/>
          <w:sz w:val="28"/>
        </w:rPr>
        <w:t>日发布</w:t>
      </w:r>
      <w:r>
        <w:rPr>
          <w:rFonts w:ascii="宋体" w:hAnsi="宋体"/>
          <w:color w:val="auto"/>
          <w:sz w:val="28"/>
        </w:rPr>
        <w:tab/>
      </w:r>
      <w:r>
        <w:rPr>
          <w:rFonts w:ascii="宋体" w:hAnsi="宋体"/>
          <w:color w:val="auto"/>
          <w:sz w:val="28"/>
        </w:rPr>
        <w:tab/>
      </w:r>
      <w:r>
        <w:rPr>
          <w:rFonts w:ascii="宋体" w:hAnsi="宋体"/>
          <w:color w:val="auto"/>
          <w:sz w:val="28"/>
        </w:rPr>
        <w:tab/>
      </w:r>
      <w:r>
        <w:rPr>
          <w:rFonts w:hint="eastAsia" w:ascii="宋体" w:hAnsi="宋体"/>
          <w:color w:val="auto"/>
          <w:sz w:val="28"/>
          <w:lang w:val="en-US" w:eastAsia="zh-CN"/>
        </w:rPr>
        <w:t xml:space="preserve">    </w:t>
      </w:r>
      <w:r>
        <w:rPr>
          <w:rFonts w:ascii="宋体" w:hAnsi="宋体"/>
          <w:color w:val="auto"/>
          <w:sz w:val="28"/>
        </w:rPr>
        <w:tab/>
      </w:r>
      <w:r>
        <w:rPr>
          <w:rFonts w:ascii="宋体" w:hAnsi="宋体"/>
          <w:color w:val="auto"/>
          <w:sz w:val="28"/>
        </w:rPr>
        <w:tab/>
      </w:r>
      <w:r>
        <w:rPr>
          <w:rFonts w:ascii="宋体" w:hAnsi="宋体"/>
          <w:color w:val="auto"/>
          <w:sz w:val="28"/>
        </w:rPr>
        <w:tab/>
      </w:r>
      <w:r>
        <w:rPr>
          <w:rFonts w:ascii="宋体" w:hAnsi="宋体"/>
          <w:color w:val="auto"/>
          <w:sz w:val="28"/>
        </w:rPr>
        <w:t xml:space="preserve"> 20</w:t>
      </w:r>
      <w:r>
        <w:rPr>
          <w:rFonts w:hint="eastAsia" w:ascii="宋体" w:hAnsi="宋体"/>
          <w:color w:val="auto"/>
          <w:sz w:val="28"/>
          <w:lang w:val="en-US" w:eastAsia="zh-CN"/>
        </w:rPr>
        <w:t>23</w:t>
      </w:r>
      <w:r>
        <w:rPr>
          <w:rFonts w:ascii="宋体" w:hAnsi="宋体"/>
          <w:color w:val="auto"/>
          <w:sz w:val="28"/>
        </w:rPr>
        <w:t>年</w:t>
      </w:r>
      <w:r>
        <w:rPr>
          <w:rFonts w:hint="eastAsia" w:ascii="宋体" w:hAnsi="宋体"/>
          <w:color w:val="auto"/>
          <w:sz w:val="28"/>
          <w:lang w:val="en-US" w:eastAsia="zh-CN"/>
        </w:rPr>
        <w:t>05</w:t>
      </w:r>
      <w:r>
        <w:rPr>
          <w:rFonts w:ascii="宋体" w:hAnsi="宋体"/>
          <w:color w:val="auto"/>
          <w:sz w:val="28"/>
        </w:rPr>
        <w:t>月</w:t>
      </w:r>
      <w:r>
        <w:rPr>
          <w:rFonts w:hint="eastAsia" w:ascii="宋体" w:hAnsi="宋体"/>
          <w:color w:val="auto"/>
          <w:sz w:val="28"/>
          <w:lang w:val="en-US" w:eastAsia="zh-CN"/>
        </w:rPr>
        <w:t>10</w:t>
      </w:r>
      <w:r>
        <w:rPr>
          <w:rFonts w:ascii="宋体" w:hAnsi="宋体"/>
          <w:color w:val="auto"/>
          <w:sz w:val="28"/>
        </w:rPr>
        <w:t>日实施</w:t>
      </w:r>
    </w:p>
    <w:p w14:paraId="5FFD0449">
      <w:pPr>
        <w:tabs>
          <w:tab w:val="left" w:pos="1780"/>
          <w:tab w:val="center" w:pos="5607"/>
        </w:tabs>
        <w:spacing w:line="360" w:lineRule="auto"/>
        <w:ind w:right="-588" w:rightChars="-280"/>
        <w:jc w:val="center"/>
        <w:rPr>
          <w:rFonts w:ascii="宋体" w:hAnsi="宋体"/>
          <w:color w:val="auto"/>
          <w:spacing w:val="30"/>
          <w:sz w:val="36"/>
        </w:rPr>
      </w:pPr>
      <w:r>
        <w:rPr>
          <w:color w:val="auto"/>
          <w:sz w:val="36"/>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205740</wp:posOffset>
                </wp:positionV>
                <wp:extent cx="6200775" cy="9525"/>
                <wp:effectExtent l="0" t="13970" r="9525" b="14605"/>
                <wp:wrapNone/>
                <wp:docPr id="5" name="直接连接符 5"/>
                <wp:cNvGraphicFramePr/>
                <a:graphic xmlns:a="http://schemas.openxmlformats.org/drawingml/2006/main">
                  <a:graphicData uri="http://schemas.microsoft.com/office/word/2010/wordprocessingShape">
                    <wps:wsp>
                      <wps:cNvCnPr/>
                      <wps:spPr>
                        <a:xfrm>
                          <a:off x="737870" y="9229090"/>
                          <a:ext cx="6200775" cy="9525"/>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6.2pt;height:0.75pt;width:488.25pt;z-index:251662336;mso-width-relative:page;mso-height-relative:page;" filled="f" stroked="t" coordsize="21600,21600" o:gfxdata="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r4r9gA&#10;AAAIAQAADwAAAAAAAAABACAAAAAiAAAAZHJzL2Rvd25yZXYueG1sUEsBAhQAFAAAAAgAh07iQLfY&#10;MpvmAQAAqQMAAA4AAAAAAAAAAQAgAAAAJwEAAGRycy9lMm9Eb2MueG1sUEsFBgAAAAAGAAYAWQEA&#10;AH8FAAAAAA==&#10;">
                <v:fill on="f" focussize="0,0"/>
                <v:stroke weight="2.25pt" color="#000000 [3213]" joinstyle="round"/>
                <v:imagedata o:title=""/>
                <o:lock v:ext="edit" aspectratio="f"/>
              </v:line>
            </w:pict>
          </mc:Fallback>
        </mc:AlternateContent>
      </w:r>
      <w:r>
        <w:rPr>
          <w:rFonts w:ascii="宋体" w:hAnsi="宋体"/>
          <w:color w:val="auto"/>
          <w:spacing w:val="30"/>
          <w:sz w:val="36"/>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9251950</wp:posOffset>
                </wp:positionV>
                <wp:extent cx="760095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728.5pt;height:0.05pt;width:598.5pt;z-index:251661312;mso-width-relative:page;mso-height-relative:page;" filled="f" stroked="t" coordsize="21600,21600" o:gfxdata="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pOC/cAAAADgEAAA8AAAAAAAAAAQAgAAAAIgAAAGRycy9kb3du&#10;cmV2LnhtbFBLAQIUABQAAAAIAIdO4kCaRonY+wEAAO0DAAAOAAAAAAAAAAEAIAAAACsBAABkcnMv&#10;ZTJvRG9jLnhtbFBLBQYAAAAABgAGAFkBAACYBQAAAAA=&#10;">
                <v:fill on="f" focussize="0,0"/>
                <v:stroke weight="4.5pt" color="#000000" linestyle="thinThick" joinstyle="round"/>
                <v:imagedata o:title=""/>
                <o:lock v:ext="edit" aspectratio="f"/>
              </v:line>
            </w:pict>
          </mc:Fallback>
        </mc:AlternateContent>
      </w:r>
      <w:r>
        <w:rPr>
          <w:rFonts w:ascii="宋体" w:hAnsi="宋体"/>
          <w:color w:val="auto"/>
          <w:spacing w:val="30"/>
          <w:sz w:val="36"/>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6" name="直接连接符 6"/>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0288;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f6FGtwAAAAOAQAADwAAAAAAAAABACAAAAAiAAAAZHJzL2Rvd25y&#10;ZXYueG1sUEsBAhQAFAAAAAgAh07iQAGuZGX6AQAA7QMAAA4AAAAAAAAAAQAgAAAAKwEAAGRycy9l&#10;Mm9Eb2MueG1sUEsFBgAAAAAGAAYAWQEAAJcFAAAAAA==&#10;">
                <v:fill on="f" focussize="0,0"/>
                <v:stroke weight="4.5pt" color="#000000" linestyle="thinThick" joinstyle="round"/>
                <v:imagedata o:title=""/>
                <o:lock v:ext="edit" aspectratio="f"/>
              </v:line>
            </w:pict>
          </mc:Fallback>
        </mc:AlternateContent>
      </w:r>
    </w:p>
    <w:p w14:paraId="49E45244">
      <w:pPr>
        <w:tabs>
          <w:tab w:val="left" w:pos="1780"/>
          <w:tab w:val="center" w:pos="5607"/>
        </w:tabs>
        <w:spacing w:line="360" w:lineRule="auto"/>
        <w:ind w:right="-588" w:rightChars="-280"/>
        <w:jc w:val="center"/>
        <w:rPr>
          <w:rFonts w:hint="eastAsia" w:ascii="宋体" w:hAnsi="宋体" w:eastAsia="宋体" w:cs="宋体"/>
          <w:color w:val="auto"/>
          <w:spacing w:val="-3"/>
          <w:sz w:val="24"/>
          <w:szCs w:val="24"/>
          <w:lang w:eastAsia="zh-CN"/>
        </w:rPr>
        <w:sectPr>
          <w:headerReference r:id="rId5" w:type="first"/>
          <w:headerReference r:id="rId3" w:type="default"/>
          <w:footerReference r:id="rId6" w:type="default"/>
          <w:headerReference r:id="rId4" w:type="even"/>
          <w:footerReference r:id="rId7" w:type="even"/>
          <w:pgSz w:w="11900" w:h="16820"/>
          <w:pgMar w:top="850" w:right="850" w:bottom="850" w:left="850" w:header="567" w:footer="397" w:gutter="0"/>
          <w:pgNumType w:fmt="decimal"/>
          <w:cols w:space="720" w:num="1"/>
          <w:titlePg/>
          <w:docGrid w:linePitch="286" w:charSpace="0"/>
        </w:sectPr>
      </w:pPr>
      <w:r>
        <w:rPr>
          <w:rFonts w:hint="eastAsia" w:eastAsia="黑体"/>
          <w:color w:val="auto"/>
          <w:sz w:val="36"/>
          <w:szCs w:val="36"/>
          <w:lang w:eastAsia="zh-CN"/>
        </w:rPr>
        <w:t>中博检验认证技术服务（江苏）有限公司</w:t>
      </w:r>
    </w:p>
    <w:p w14:paraId="16B11D29">
      <w:pPr>
        <w:snapToGrid w:val="0"/>
        <w:jc w:val="both"/>
        <w:rPr>
          <w:rFonts w:hint="eastAsia"/>
          <w:b/>
          <w:bCs/>
          <w:color w:val="auto"/>
          <w:sz w:val="44"/>
          <w:lang w:val="en-US" w:eastAsia="zh-CN"/>
        </w:rPr>
      </w:pPr>
    </w:p>
    <w:p w14:paraId="3778D747">
      <w:pPr>
        <w:snapToGrid w:val="0"/>
        <w:jc w:val="center"/>
        <w:rPr>
          <w:rFonts w:ascii="宋体" w:hAnsi="宋体"/>
          <w:b/>
          <w:bCs/>
          <w:color w:val="auto"/>
          <w:sz w:val="28"/>
          <w:szCs w:val="21"/>
        </w:rPr>
      </w:pPr>
      <w:r>
        <w:rPr>
          <w:rFonts w:hint="eastAsia"/>
          <w:b/>
          <w:bCs/>
          <w:color w:val="auto"/>
          <w:sz w:val="44"/>
          <w:lang w:val="en-US" w:eastAsia="zh-CN"/>
        </w:rPr>
        <w:t>修 订 履 历</w:t>
      </w:r>
    </w:p>
    <w:tbl>
      <w:tblPr>
        <w:tblStyle w:val="14"/>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76"/>
        <w:gridCol w:w="1748"/>
        <w:gridCol w:w="1951"/>
        <w:gridCol w:w="1537"/>
      </w:tblGrid>
      <w:tr w14:paraId="7A10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05" w:type="dxa"/>
            <w:vAlign w:val="center"/>
          </w:tcPr>
          <w:p w14:paraId="1708B6CD">
            <w:pPr>
              <w:jc w:val="center"/>
              <w:rPr>
                <w:b/>
                <w:bCs/>
                <w:color w:val="auto"/>
                <w:sz w:val="24"/>
                <w:szCs w:val="24"/>
              </w:rPr>
            </w:pPr>
            <w:r>
              <w:rPr>
                <w:rFonts w:hint="eastAsia"/>
                <w:b/>
                <w:bCs/>
                <w:color w:val="auto"/>
                <w:sz w:val="24"/>
                <w:szCs w:val="24"/>
              </w:rPr>
              <w:t>版本</w:t>
            </w:r>
          </w:p>
        </w:tc>
        <w:tc>
          <w:tcPr>
            <w:tcW w:w="3576" w:type="dxa"/>
            <w:vAlign w:val="center"/>
          </w:tcPr>
          <w:p w14:paraId="3AF7710A">
            <w:pPr>
              <w:jc w:val="center"/>
              <w:rPr>
                <w:b/>
                <w:bCs/>
                <w:color w:val="auto"/>
                <w:sz w:val="24"/>
                <w:szCs w:val="24"/>
              </w:rPr>
            </w:pPr>
            <w:r>
              <w:rPr>
                <w:rFonts w:hint="eastAsia"/>
                <w:b/>
                <w:bCs/>
                <w:color w:val="auto"/>
                <w:sz w:val="24"/>
                <w:szCs w:val="24"/>
              </w:rPr>
              <w:t>修改内容</w:t>
            </w:r>
          </w:p>
        </w:tc>
        <w:tc>
          <w:tcPr>
            <w:tcW w:w="1748" w:type="dxa"/>
            <w:vAlign w:val="center"/>
          </w:tcPr>
          <w:p w14:paraId="6D41F121">
            <w:pPr>
              <w:jc w:val="center"/>
              <w:rPr>
                <w:b/>
                <w:bCs/>
                <w:color w:val="auto"/>
                <w:sz w:val="24"/>
                <w:szCs w:val="24"/>
              </w:rPr>
            </w:pPr>
            <w:r>
              <w:rPr>
                <w:rFonts w:hint="eastAsia"/>
                <w:b/>
                <w:bCs/>
                <w:color w:val="auto"/>
                <w:sz w:val="24"/>
                <w:szCs w:val="24"/>
              </w:rPr>
              <w:t>修改日期</w:t>
            </w:r>
          </w:p>
        </w:tc>
        <w:tc>
          <w:tcPr>
            <w:tcW w:w="1951" w:type="dxa"/>
            <w:vAlign w:val="center"/>
          </w:tcPr>
          <w:p w14:paraId="0E58162A">
            <w:pPr>
              <w:jc w:val="center"/>
              <w:rPr>
                <w:rFonts w:hint="default" w:eastAsia="宋体"/>
                <w:b/>
                <w:bCs/>
                <w:color w:val="auto"/>
                <w:sz w:val="24"/>
                <w:szCs w:val="24"/>
                <w:lang w:val="en-US" w:eastAsia="zh-CN"/>
              </w:rPr>
            </w:pPr>
            <w:r>
              <w:rPr>
                <w:rFonts w:hint="eastAsia"/>
                <w:b/>
                <w:bCs/>
                <w:color w:val="auto"/>
                <w:sz w:val="24"/>
                <w:szCs w:val="24"/>
                <w:lang w:val="en-US" w:eastAsia="zh-CN"/>
              </w:rPr>
              <w:t>修订人</w:t>
            </w:r>
          </w:p>
        </w:tc>
        <w:tc>
          <w:tcPr>
            <w:tcW w:w="1537" w:type="dxa"/>
            <w:vAlign w:val="center"/>
          </w:tcPr>
          <w:p w14:paraId="53FA7BAA">
            <w:pPr>
              <w:jc w:val="center"/>
              <w:rPr>
                <w:b/>
                <w:bCs/>
                <w:color w:val="auto"/>
                <w:sz w:val="24"/>
                <w:szCs w:val="24"/>
              </w:rPr>
            </w:pPr>
            <w:r>
              <w:rPr>
                <w:rFonts w:hint="eastAsia"/>
                <w:b/>
                <w:bCs/>
                <w:color w:val="auto"/>
                <w:sz w:val="24"/>
                <w:szCs w:val="24"/>
              </w:rPr>
              <w:t>备注</w:t>
            </w:r>
          </w:p>
        </w:tc>
      </w:tr>
      <w:tr w14:paraId="3634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763CE7AF">
            <w:pPr>
              <w:jc w:val="center"/>
              <w:rPr>
                <w:color w:val="auto"/>
                <w:sz w:val="24"/>
                <w:szCs w:val="24"/>
              </w:rPr>
            </w:pPr>
            <w:r>
              <w:rPr>
                <w:rFonts w:hint="eastAsia"/>
                <w:color w:val="auto"/>
                <w:sz w:val="24"/>
                <w:szCs w:val="24"/>
              </w:rPr>
              <w:t>A/0</w:t>
            </w:r>
          </w:p>
        </w:tc>
        <w:tc>
          <w:tcPr>
            <w:tcW w:w="3576" w:type="dxa"/>
            <w:vAlign w:val="center"/>
          </w:tcPr>
          <w:p w14:paraId="48D16EFE">
            <w:pPr>
              <w:rPr>
                <w:rFonts w:hint="default" w:eastAsia="宋体"/>
                <w:color w:val="auto"/>
                <w:sz w:val="24"/>
                <w:szCs w:val="24"/>
                <w:lang w:val="en-US" w:eastAsia="zh-CN"/>
              </w:rPr>
            </w:pPr>
            <w:r>
              <w:rPr>
                <w:rFonts w:hint="eastAsia"/>
                <w:color w:val="auto"/>
                <w:sz w:val="24"/>
                <w:szCs w:val="24"/>
                <w:lang w:val="en-US" w:eastAsia="zh-CN"/>
              </w:rPr>
              <w:t>新建</w:t>
            </w:r>
          </w:p>
        </w:tc>
        <w:tc>
          <w:tcPr>
            <w:tcW w:w="1748" w:type="dxa"/>
            <w:vAlign w:val="center"/>
          </w:tcPr>
          <w:p w14:paraId="1B261FE1">
            <w:pPr>
              <w:jc w:val="center"/>
              <w:rPr>
                <w:rFonts w:hint="default" w:eastAsia="宋体"/>
                <w:color w:val="auto"/>
                <w:sz w:val="24"/>
                <w:szCs w:val="24"/>
                <w:lang w:val="en-US" w:eastAsia="zh-CN"/>
              </w:rPr>
            </w:pPr>
            <w:r>
              <w:rPr>
                <w:rFonts w:hint="eastAsia"/>
                <w:color w:val="auto"/>
                <w:sz w:val="24"/>
                <w:szCs w:val="24"/>
              </w:rPr>
              <w:t>20</w:t>
            </w:r>
            <w:r>
              <w:rPr>
                <w:rFonts w:hint="eastAsia"/>
                <w:color w:val="auto"/>
                <w:sz w:val="24"/>
                <w:szCs w:val="24"/>
                <w:lang w:val="en-US" w:eastAsia="zh-CN"/>
              </w:rPr>
              <w:t>23</w:t>
            </w:r>
            <w:r>
              <w:rPr>
                <w:rFonts w:hint="eastAsia"/>
                <w:color w:val="auto"/>
                <w:sz w:val="24"/>
                <w:szCs w:val="24"/>
              </w:rPr>
              <w:t>/</w:t>
            </w:r>
            <w:r>
              <w:rPr>
                <w:rFonts w:hint="eastAsia"/>
                <w:color w:val="auto"/>
                <w:sz w:val="24"/>
                <w:szCs w:val="24"/>
                <w:lang w:val="en-US" w:eastAsia="zh-CN"/>
              </w:rPr>
              <w:t>05</w:t>
            </w:r>
            <w:r>
              <w:rPr>
                <w:rFonts w:hint="eastAsia"/>
                <w:color w:val="auto"/>
                <w:sz w:val="24"/>
                <w:szCs w:val="24"/>
              </w:rPr>
              <w:t>/</w:t>
            </w:r>
            <w:r>
              <w:rPr>
                <w:rFonts w:hint="eastAsia"/>
                <w:color w:val="auto"/>
                <w:sz w:val="24"/>
                <w:szCs w:val="24"/>
                <w:lang w:val="en-US" w:eastAsia="zh-CN"/>
              </w:rPr>
              <w:t>10</w:t>
            </w:r>
          </w:p>
        </w:tc>
        <w:tc>
          <w:tcPr>
            <w:tcW w:w="1951" w:type="dxa"/>
            <w:vAlign w:val="center"/>
          </w:tcPr>
          <w:p w14:paraId="7B6C6B84">
            <w:pPr>
              <w:jc w:val="center"/>
              <w:rPr>
                <w:rFonts w:hint="default" w:eastAsia="宋体"/>
                <w:color w:val="auto"/>
                <w:sz w:val="24"/>
                <w:szCs w:val="24"/>
                <w:lang w:val="en-US" w:eastAsia="zh-CN"/>
              </w:rPr>
            </w:pPr>
            <w:r>
              <w:rPr>
                <w:rFonts w:hint="eastAsia"/>
                <w:color w:val="auto"/>
                <w:sz w:val="24"/>
                <w:szCs w:val="24"/>
                <w:lang w:val="en-US" w:eastAsia="zh-CN"/>
              </w:rPr>
              <w:t>邹碧</w:t>
            </w:r>
          </w:p>
        </w:tc>
        <w:tc>
          <w:tcPr>
            <w:tcW w:w="1537" w:type="dxa"/>
            <w:vAlign w:val="center"/>
          </w:tcPr>
          <w:p w14:paraId="2E960D2B">
            <w:pPr>
              <w:jc w:val="center"/>
              <w:rPr>
                <w:color w:val="auto"/>
                <w:sz w:val="24"/>
                <w:szCs w:val="24"/>
              </w:rPr>
            </w:pPr>
          </w:p>
        </w:tc>
      </w:tr>
      <w:tr w14:paraId="2D5F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68ACBBDB">
            <w:pPr>
              <w:jc w:val="center"/>
              <w:rPr>
                <w:color w:val="auto"/>
                <w:sz w:val="24"/>
                <w:szCs w:val="24"/>
              </w:rPr>
            </w:pPr>
          </w:p>
        </w:tc>
        <w:tc>
          <w:tcPr>
            <w:tcW w:w="3576" w:type="dxa"/>
            <w:vAlign w:val="center"/>
          </w:tcPr>
          <w:p w14:paraId="4BDF11D3">
            <w:pPr>
              <w:rPr>
                <w:color w:val="auto"/>
                <w:sz w:val="24"/>
                <w:szCs w:val="24"/>
              </w:rPr>
            </w:pPr>
          </w:p>
        </w:tc>
        <w:tc>
          <w:tcPr>
            <w:tcW w:w="1748" w:type="dxa"/>
            <w:vAlign w:val="center"/>
          </w:tcPr>
          <w:p w14:paraId="7882FDE4">
            <w:pPr>
              <w:jc w:val="center"/>
              <w:rPr>
                <w:color w:val="auto"/>
                <w:sz w:val="24"/>
                <w:szCs w:val="24"/>
              </w:rPr>
            </w:pPr>
          </w:p>
        </w:tc>
        <w:tc>
          <w:tcPr>
            <w:tcW w:w="1951" w:type="dxa"/>
            <w:vAlign w:val="center"/>
          </w:tcPr>
          <w:p w14:paraId="55B20031">
            <w:pPr>
              <w:jc w:val="center"/>
              <w:rPr>
                <w:color w:val="auto"/>
                <w:sz w:val="24"/>
                <w:szCs w:val="24"/>
              </w:rPr>
            </w:pPr>
          </w:p>
        </w:tc>
        <w:tc>
          <w:tcPr>
            <w:tcW w:w="1537" w:type="dxa"/>
            <w:vAlign w:val="center"/>
          </w:tcPr>
          <w:p w14:paraId="18811C45">
            <w:pPr>
              <w:jc w:val="center"/>
              <w:rPr>
                <w:color w:val="auto"/>
                <w:sz w:val="24"/>
                <w:szCs w:val="24"/>
              </w:rPr>
            </w:pPr>
          </w:p>
        </w:tc>
      </w:tr>
      <w:tr w14:paraId="040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30275CA7">
            <w:pPr>
              <w:jc w:val="center"/>
              <w:rPr>
                <w:color w:val="auto"/>
                <w:sz w:val="24"/>
                <w:szCs w:val="24"/>
              </w:rPr>
            </w:pPr>
          </w:p>
        </w:tc>
        <w:tc>
          <w:tcPr>
            <w:tcW w:w="3576" w:type="dxa"/>
            <w:vAlign w:val="center"/>
          </w:tcPr>
          <w:p w14:paraId="25AEF1B3">
            <w:pPr>
              <w:rPr>
                <w:color w:val="auto"/>
                <w:sz w:val="24"/>
                <w:szCs w:val="24"/>
              </w:rPr>
            </w:pPr>
          </w:p>
        </w:tc>
        <w:tc>
          <w:tcPr>
            <w:tcW w:w="1748" w:type="dxa"/>
            <w:vAlign w:val="center"/>
          </w:tcPr>
          <w:p w14:paraId="3A11BEBA">
            <w:pPr>
              <w:jc w:val="center"/>
              <w:rPr>
                <w:color w:val="auto"/>
                <w:sz w:val="24"/>
                <w:szCs w:val="24"/>
              </w:rPr>
            </w:pPr>
          </w:p>
        </w:tc>
        <w:tc>
          <w:tcPr>
            <w:tcW w:w="1951" w:type="dxa"/>
            <w:vAlign w:val="center"/>
          </w:tcPr>
          <w:p w14:paraId="73BA372C">
            <w:pPr>
              <w:jc w:val="center"/>
              <w:rPr>
                <w:color w:val="auto"/>
                <w:sz w:val="24"/>
                <w:szCs w:val="24"/>
              </w:rPr>
            </w:pPr>
          </w:p>
        </w:tc>
        <w:tc>
          <w:tcPr>
            <w:tcW w:w="1537" w:type="dxa"/>
            <w:vAlign w:val="center"/>
          </w:tcPr>
          <w:p w14:paraId="68F95C4D">
            <w:pPr>
              <w:jc w:val="center"/>
              <w:rPr>
                <w:color w:val="auto"/>
                <w:sz w:val="24"/>
                <w:szCs w:val="24"/>
              </w:rPr>
            </w:pPr>
          </w:p>
        </w:tc>
      </w:tr>
      <w:tr w14:paraId="04D6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5CA3FA7F">
            <w:pPr>
              <w:jc w:val="center"/>
              <w:rPr>
                <w:color w:val="auto"/>
                <w:sz w:val="24"/>
                <w:szCs w:val="24"/>
              </w:rPr>
            </w:pPr>
          </w:p>
        </w:tc>
        <w:tc>
          <w:tcPr>
            <w:tcW w:w="3576" w:type="dxa"/>
            <w:vAlign w:val="center"/>
          </w:tcPr>
          <w:p w14:paraId="67DC662D">
            <w:pPr>
              <w:rPr>
                <w:color w:val="auto"/>
                <w:sz w:val="24"/>
                <w:szCs w:val="24"/>
              </w:rPr>
            </w:pPr>
          </w:p>
        </w:tc>
        <w:tc>
          <w:tcPr>
            <w:tcW w:w="1748" w:type="dxa"/>
            <w:vAlign w:val="center"/>
          </w:tcPr>
          <w:p w14:paraId="73FC2AF5">
            <w:pPr>
              <w:jc w:val="center"/>
              <w:rPr>
                <w:color w:val="auto"/>
                <w:sz w:val="24"/>
                <w:szCs w:val="24"/>
              </w:rPr>
            </w:pPr>
          </w:p>
        </w:tc>
        <w:tc>
          <w:tcPr>
            <w:tcW w:w="1951" w:type="dxa"/>
            <w:vAlign w:val="center"/>
          </w:tcPr>
          <w:p w14:paraId="63AC00DE">
            <w:pPr>
              <w:jc w:val="center"/>
              <w:rPr>
                <w:color w:val="auto"/>
                <w:sz w:val="24"/>
                <w:szCs w:val="24"/>
              </w:rPr>
            </w:pPr>
          </w:p>
        </w:tc>
        <w:tc>
          <w:tcPr>
            <w:tcW w:w="1537" w:type="dxa"/>
            <w:vAlign w:val="center"/>
          </w:tcPr>
          <w:p w14:paraId="7B6D9ABC">
            <w:pPr>
              <w:jc w:val="center"/>
              <w:rPr>
                <w:color w:val="auto"/>
                <w:sz w:val="24"/>
                <w:szCs w:val="24"/>
              </w:rPr>
            </w:pPr>
          </w:p>
        </w:tc>
      </w:tr>
      <w:tr w14:paraId="624E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5898148C">
            <w:pPr>
              <w:jc w:val="center"/>
              <w:rPr>
                <w:color w:val="auto"/>
                <w:sz w:val="24"/>
                <w:szCs w:val="24"/>
              </w:rPr>
            </w:pPr>
          </w:p>
        </w:tc>
        <w:tc>
          <w:tcPr>
            <w:tcW w:w="3576" w:type="dxa"/>
            <w:vAlign w:val="center"/>
          </w:tcPr>
          <w:p w14:paraId="4E3E6ACA">
            <w:pPr>
              <w:rPr>
                <w:color w:val="auto"/>
                <w:sz w:val="24"/>
                <w:szCs w:val="24"/>
              </w:rPr>
            </w:pPr>
          </w:p>
        </w:tc>
        <w:tc>
          <w:tcPr>
            <w:tcW w:w="1748" w:type="dxa"/>
            <w:vAlign w:val="center"/>
          </w:tcPr>
          <w:p w14:paraId="370D123F">
            <w:pPr>
              <w:jc w:val="center"/>
              <w:rPr>
                <w:color w:val="auto"/>
                <w:sz w:val="24"/>
                <w:szCs w:val="24"/>
              </w:rPr>
            </w:pPr>
          </w:p>
        </w:tc>
        <w:tc>
          <w:tcPr>
            <w:tcW w:w="1951" w:type="dxa"/>
            <w:vAlign w:val="center"/>
          </w:tcPr>
          <w:p w14:paraId="7354233B">
            <w:pPr>
              <w:jc w:val="center"/>
              <w:rPr>
                <w:color w:val="auto"/>
                <w:sz w:val="24"/>
                <w:szCs w:val="24"/>
              </w:rPr>
            </w:pPr>
          </w:p>
        </w:tc>
        <w:tc>
          <w:tcPr>
            <w:tcW w:w="1537" w:type="dxa"/>
            <w:vAlign w:val="center"/>
          </w:tcPr>
          <w:p w14:paraId="126DEE75">
            <w:pPr>
              <w:jc w:val="center"/>
              <w:rPr>
                <w:color w:val="auto"/>
                <w:sz w:val="24"/>
                <w:szCs w:val="24"/>
              </w:rPr>
            </w:pPr>
          </w:p>
        </w:tc>
      </w:tr>
      <w:tr w14:paraId="3C40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20BDBCA8">
            <w:pPr>
              <w:jc w:val="center"/>
              <w:rPr>
                <w:color w:val="auto"/>
                <w:sz w:val="24"/>
                <w:szCs w:val="24"/>
              </w:rPr>
            </w:pPr>
          </w:p>
        </w:tc>
        <w:tc>
          <w:tcPr>
            <w:tcW w:w="3576" w:type="dxa"/>
            <w:vAlign w:val="center"/>
          </w:tcPr>
          <w:p w14:paraId="3B5A8092">
            <w:pPr>
              <w:rPr>
                <w:color w:val="auto"/>
                <w:sz w:val="24"/>
                <w:szCs w:val="24"/>
              </w:rPr>
            </w:pPr>
          </w:p>
        </w:tc>
        <w:tc>
          <w:tcPr>
            <w:tcW w:w="1748" w:type="dxa"/>
            <w:vAlign w:val="center"/>
          </w:tcPr>
          <w:p w14:paraId="3F118F55">
            <w:pPr>
              <w:jc w:val="center"/>
              <w:rPr>
                <w:color w:val="auto"/>
                <w:sz w:val="24"/>
                <w:szCs w:val="24"/>
              </w:rPr>
            </w:pPr>
          </w:p>
        </w:tc>
        <w:tc>
          <w:tcPr>
            <w:tcW w:w="1951" w:type="dxa"/>
            <w:vAlign w:val="center"/>
          </w:tcPr>
          <w:p w14:paraId="2DF3F445">
            <w:pPr>
              <w:jc w:val="center"/>
              <w:rPr>
                <w:color w:val="auto"/>
                <w:sz w:val="24"/>
                <w:szCs w:val="24"/>
              </w:rPr>
            </w:pPr>
          </w:p>
        </w:tc>
        <w:tc>
          <w:tcPr>
            <w:tcW w:w="1537" w:type="dxa"/>
            <w:vAlign w:val="center"/>
          </w:tcPr>
          <w:p w14:paraId="4DE57C41">
            <w:pPr>
              <w:jc w:val="center"/>
              <w:rPr>
                <w:color w:val="auto"/>
                <w:sz w:val="24"/>
                <w:szCs w:val="24"/>
              </w:rPr>
            </w:pPr>
          </w:p>
        </w:tc>
      </w:tr>
      <w:tr w14:paraId="2C94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2A5B9924">
            <w:pPr>
              <w:jc w:val="center"/>
              <w:rPr>
                <w:color w:val="auto"/>
                <w:sz w:val="24"/>
                <w:szCs w:val="24"/>
              </w:rPr>
            </w:pPr>
          </w:p>
        </w:tc>
        <w:tc>
          <w:tcPr>
            <w:tcW w:w="3576" w:type="dxa"/>
            <w:vAlign w:val="center"/>
          </w:tcPr>
          <w:p w14:paraId="28F7CD45">
            <w:pPr>
              <w:rPr>
                <w:color w:val="auto"/>
                <w:sz w:val="24"/>
                <w:szCs w:val="24"/>
              </w:rPr>
            </w:pPr>
          </w:p>
        </w:tc>
        <w:tc>
          <w:tcPr>
            <w:tcW w:w="1748" w:type="dxa"/>
            <w:vAlign w:val="center"/>
          </w:tcPr>
          <w:p w14:paraId="6FA44996">
            <w:pPr>
              <w:jc w:val="center"/>
              <w:rPr>
                <w:color w:val="auto"/>
                <w:sz w:val="24"/>
                <w:szCs w:val="24"/>
              </w:rPr>
            </w:pPr>
          </w:p>
        </w:tc>
        <w:tc>
          <w:tcPr>
            <w:tcW w:w="1951" w:type="dxa"/>
            <w:vAlign w:val="center"/>
          </w:tcPr>
          <w:p w14:paraId="47547E53">
            <w:pPr>
              <w:jc w:val="center"/>
              <w:rPr>
                <w:color w:val="auto"/>
                <w:sz w:val="24"/>
                <w:szCs w:val="24"/>
              </w:rPr>
            </w:pPr>
          </w:p>
        </w:tc>
        <w:tc>
          <w:tcPr>
            <w:tcW w:w="1537" w:type="dxa"/>
            <w:vAlign w:val="center"/>
          </w:tcPr>
          <w:p w14:paraId="4632CBF6">
            <w:pPr>
              <w:jc w:val="center"/>
              <w:rPr>
                <w:color w:val="auto"/>
                <w:sz w:val="24"/>
                <w:szCs w:val="24"/>
              </w:rPr>
            </w:pPr>
          </w:p>
        </w:tc>
      </w:tr>
      <w:tr w14:paraId="67A8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755667BD">
            <w:pPr>
              <w:jc w:val="center"/>
              <w:rPr>
                <w:color w:val="auto"/>
                <w:sz w:val="24"/>
                <w:szCs w:val="24"/>
              </w:rPr>
            </w:pPr>
          </w:p>
        </w:tc>
        <w:tc>
          <w:tcPr>
            <w:tcW w:w="3576" w:type="dxa"/>
            <w:vAlign w:val="center"/>
          </w:tcPr>
          <w:p w14:paraId="550D86AA">
            <w:pPr>
              <w:rPr>
                <w:color w:val="auto"/>
                <w:sz w:val="24"/>
                <w:szCs w:val="24"/>
              </w:rPr>
            </w:pPr>
          </w:p>
        </w:tc>
        <w:tc>
          <w:tcPr>
            <w:tcW w:w="1748" w:type="dxa"/>
            <w:vAlign w:val="center"/>
          </w:tcPr>
          <w:p w14:paraId="391B963D">
            <w:pPr>
              <w:jc w:val="center"/>
              <w:rPr>
                <w:color w:val="auto"/>
                <w:sz w:val="24"/>
                <w:szCs w:val="24"/>
              </w:rPr>
            </w:pPr>
          </w:p>
        </w:tc>
        <w:tc>
          <w:tcPr>
            <w:tcW w:w="1951" w:type="dxa"/>
            <w:vAlign w:val="center"/>
          </w:tcPr>
          <w:p w14:paraId="0D334F39">
            <w:pPr>
              <w:jc w:val="center"/>
              <w:rPr>
                <w:color w:val="auto"/>
                <w:sz w:val="24"/>
                <w:szCs w:val="24"/>
              </w:rPr>
            </w:pPr>
          </w:p>
        </w:tc>
        <w:tc>
          <w:tcPr>
            <w:tcW w:w="1537" w:type="dxa"/>
            <w:vAlign w:val="center"/>
          </w:tcPr>
          <w:p w14:paraId="10E36E22">
            <w:pPr>
              <w:jc w:val="center"/>
              <w:rPr>
                <w:color w:val="auto"/>
                <w:sz w:val="24"/>
                <w:szCs w:val="24"/>
              </w:rPr>
            </w:pPr>
          </w:p>
        </w:tc>
      </w:tr>
      <w:tr w14:paraId="2AF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5643C9D6">
            <w:pPr>
              <w:jc w:val="center"/>
              <w:rPr>
                <w:color w:val="auto"/>
                <w:sz w:val="24"/>
                <w:szCs w:val="24"/>
              </w:rPr>
            </w:pPr>
          </w:p>
        </w:tc>
        <w:tc>
          <w:tcPr>
            <w:tcW w:w="3576" w:type="dxa"/>
            <w:vAlign w:val="center"/>
          </w:tcPr>
          <w:p w14:paraId="5CBA5E2A">
            <w:pPr>
              <w:rPr>
                <w:color w:val="auto"/>
                <w:sz w:val="24"/>
                <w:szCs w:val="24"/>
              </w:rPr>
            </w:pPr>
          </w:p>
        </w:tc>
        <w:tc>
          <w:tcPr>
            <w:tcW w:w="1748" w:type="dxa"/>
            <w:vAlign w:val="center"/>
          </w:tcPr>
          <w:p w14:paraId="48A6E750">
            <w:pPr>
              <w:jc w:val="center"/>
              <w:rPr>
                <w:color w:val="auto"/>
                <w:sz w:val="24"/>
                <w:szCs w:val="24"/>
              </w:rPr>
            </w:pPr>
          </w:p>
        </w:tc>
        <w:tc>
          <w:tcPr>
            <w:tcW w:w="1951" w:type="dxa"/>
            <w:vAlign w:val="center"/>
          </w:tcPr>
          <w:p w14:paraId="3C3F3712">
            <w:pPr>
              <w:jc w:val="center"/>
              <w:rPr>
                <w:color w:val="auto"/>
                <w:sz w:val="24"/>
                <w:szCs w:val="24"/>
              </w:rPr>
            </w:pPr>
          </w:p>
        </w:tc>
        <w:tc>
          <w:tcPr>
            <w:tcW w:w="1537" w:type="dxa"/>
            <w:vAlign w:val="center"/>
          </w:tcPr>
          <w:p w14:paraId="47421900">
            <w:pPr>
              <w:jc w:val="center"/>
              <w:rPr>
                <w:color w:val="auto"/>
                <w:sz w:val="24"/>
                <w:szCs w:val="24"/>
              </w:rPr>
            </w:pPr>
          </w:p>
        </w:tc>
      </w:tr>
      <w:tr w14:paraId="558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62F85A1F">
            <w:pPr>
              <w:jc w:val="center"/>
              <w:rPr>
                <w:color w:val="auto"/>
                <w:sz w:val="24"/>
                <w:szCs w:val="24"/>
              </w:rPr>
            </w:pPr>
          </w:p>
        </w:tc>
        <w:tc>
          <w:tcPr>
            <w:tcW w:w="3576" w:type="dxa"/>
            <w:vAlign w:val="center"/>
          </w:tcPr>
          <w:p w14:paraId="2D245E85">
            <w:pPr>
              <w:rPr>
                <w:color w:val="auto"/>
                <w:sz w:val="24"/>
                <w:szCs w:val="24"/>
              </w:rPr>
            </w:pPr>
          </w:p>
        </w:tc>
        <w:tc>
          <w:tcPr>
            <w:tcW w:w="1748" w:type="dxa"/>
            <w:vAlign w:val="center"/>
          </w:tcPr>
          <w:p w14:paraId="7550132B">
            <w:pPr>
              <w:jc w:val="center"/>
              <w:rPr>
                <w:color w:val="auto"/>
                <w:sz w:val="24"/>
                <w:szCs w:val="24"/>
              </w:rPr>
            </w:pPr>
          </w:p>
        </w:tc>
        <w:tc>
          <w:tcPr>
            <w:tcW w:w="1951" w:type="dxa"/>
            <w:vAlign w:val="center"/>
          </w:tcPr>
          <w:p w14:paraId="129CD2BA">
            <w:pPr>
              <w:jc w:val="center"/>
              <w:rPr>
                <w:color w:val="auto"/>
                <w:sz w:val="24"/>
                <w:szCs w:val="24"/>
              </w:rPr>
            </w:pPr>
          </w:p>
        </w:tc>
        <w:tc>
          <w:tcPr>
            <w:tcW w:w="1537" w:type="dxa"/>
            <w:vAlign w:val="center"/>
          </w:tcPr>
          <w:p w14:paraId="365395A6">
            <w:pPr>
              <w:jc w:val="center"/>
              <w:rPr>
                <w:color w:val="auto"/>
                <w:sz w:val="24"/>
                <w:szCs w:val="24"/>
              </w:rPr>
            </w:pPr>
          </w:p>
        </w:tc>
      </w:tr>
      <w:tr w14:paraId="6DB2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3F7EA908">
            <w:pPr>
              <w:jc w:val="center"/>
              <w:rPr>
                <w:color w:val="auto"/>
                <w:sz w:val="24"/>
                <w:szCs w:val="24"/>
              </w:rPr>
            </w:pPr>
          </w:p>
        </w:tc>
        <w:tc>
          <w:tcPr>
            <w:tcW w:w="3576" w:type="dxa"/>
            <w:tcBorders>
              <w:top w:val="nil"/>
            </w:tcBorders>
            <w:vAlign w:val="center"/>
          </w:tcPr>
          <w:p w14:paraId="78E48BA2">
            <w:pPr>
              <w:rPr>
                <w:color w:val="auto"/>
                <w:sz w:val="24"/>
                <w:szCs w:val="24"/>
              </w:rPr>
            </w:pPr>
          </w:p>
        </w:tc>
        <w:tc>
          <w:tcPr>
            <w:tcW w:w="1748" w:type="dxa"/>
            <w:vAlign w:val="center"/>
          </w:tcPr>
          <w:p w14:paraId="78833B00">
            <w:pPr>
              <w:jc w:val="center"/>
              <w:rPr>
                <w:color w:val="auto"/>
                <w:sz w:val="24"/>
                <w:szCs w:val="24"/>
              </w:rPr>
            </w:pPr>
          </w:p>
        </w:tc>
        <w:tc>
          <w:tcPr>
            <w:tcW w:w="1951" w:type="dxa"/>
            <w:vAlign w:val="center"/>
          </w:tcPr>
          <w:p w14:paraId="6913EEF7">
            <w:pPr>
              <w:jc w:val="center"/>
              <w:rPr>
                <w:color w:val="auto"/>
                <w:sz w:val="24"/>
                <w:szCs w:val="24"/>
              </w:rPr>
            </w:pPr>
          </w:p>
        </w:tc>
        <w:tc>
          <w:tcPr>
            <w:tcW w:w="1537" w:type="dxa"/>
            <w:vAlign w:val="center"/>
          </w:tcPr>
          <w:p w14:paraId="57133AC4">
            <w:pPr>
              <w:jc w:val="center"/>
              <w:rPr>
                <w:color w:val="auto"/>
                <w:sz w:val="24"/>
                <w:szCs w:val="24"/>
              </w:rPr>
            </w:pPr>
          </w:p>
        </w:tc>
      </w:tr>
      <w:tr w14:paraId="6379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0CF4DD07">
            <w:pPr>
              <w:jc w:val="center"/>
              <w:rPr>
                <w:color w:val="auto"/>
                <w:sz w:val="24"/>
                <w:szCs w:val="24"/>
              </w:rPr>
            </w:pPr>
          </w:p>
        </w:tc>
        <w:tc>
          <w:tcPr>
            <w:tcW w:w="3576" w:type="dxa"/>
            <w:vAlign w:val="center"/>
          </w:tcPr>
          <w:p w14:paraId="49706F43">
            <w:pPr>
              <w:rPr>
                <w:color w:val="auto"/>
                <w:sz w:val="24"/>
                <w:szCs w:val="24"/>
              </w:rPr>
            </w:pPr>
          </w:p>
        </w:tc>
        <w:tc>
          <w:tcPr>
            <w:tcW w:w="1748" w:type="dxa"/>
            <w:vAlign w:val="center"/>
          </w:tcPr>
          <w:p w14:paraId="5B58577E">
            <w:pPr>
              <w:jc w:val="center"/>
              <w:rPr>
                <w:color w:val="auto"/>
                <w:sz w:val="24"/>
                <w:szCs w:val="24"/>
              </w:rPr>
            </w:pPr>
          </w:p>
        </w:tc>
        <w:tc>
          <w:tcPr>
            <w:tcW w:w="1951" w:type="dxa"/>
            <w:vAlign w:val="center"/>
          </w:tcPr>
          <w:p w14:paraId="6D8C6AE0">
            <w:pPr>
              <w:jc w:val="center"/>
              <w:rPr>
                <w:color w:val="auto"/>
                <w:sz w:val="24"/>
                <w:szCs w:val="24"/>
              </w:rPr>
            </w:pPr>
          </w:p>
        </w:tc>
        <w:tc>
          <w:tcPr>
            <w:tcW w:w="1537" w:type="dxa"/>
            <w:vAlign w:val="center"/>
          </w:tcPr>
          <w:p w14:paraId="2B419825">
            <w:pPr>
              <w:jc w:val="center"/>
              <w:rPr>
                <w:color w:val="auto"/>
                <w:sz w:val="24"/>
                <w:szCs w:val="24"/>
              </w:rPr>
            </w:pPr>
          </w:p>
        </w:tc>
      </w:tr>
      <w:tr w14:paraId="3A12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6EE442BD">
            <w:pPr>
              <w:jc w:val="center"/>
              <w:rPr>
                <w:color w:val="auto"/>
                <w:sz w:val="24"/>
                <w:szCs w:val="24"/>
              </w:rPr>
            </w:pPr>
          </w:p>
        </w:tc>
        <w:tc>
          <w:tcPr>
            <w:tcW w:w="3576" w:type="dxa"/>
            <w:vAlign w:val="center"/>
          </w:tcPr>
          <w:p w14:paraId="601250EE">
            <w:pPr>
              <w:rPr>
                <w:color w:val="auto"/>
                <w:sz w:val="24"/>
                <w:szCs w:val="24"/>
              </w:rPr>
            </w:pPr>
          </w:p>
        </w:tc>
        <w:tc>
          <w:tcPr>
            <w:tcW w:w="1748" w:type="dxa"/>
            <w:vAlign w:val="center"/>
          </w:tcPr>
          <w:p w14:paraId="2ABDEA41">
            <w:pPr>
              <w:jc w:val="center"/>
              <w:rPr>
                <w:color w:val="auto"/>
                <w:sz w:val="24"/>
                <w:szCs w:val="24"/>
              </w:rPr>
            </w:pPr>
          </w:p>
        </w:tc>
        <w:tc>
          <w:tcPr>
            <w:tcW w:w="1951" w:type="dxa"/>
            <w:vAlign w:val="center"/>
          </w:tcPr>
          <w:p w14:paraId="056CD883">
            <w:pPr>
              <w:jc w:val="center"/>
              <w:rPr>
                <w:color w:val="auto"/>
                <w:sz w:val="24"/>
                <w:szCs w:val="24"/>
              </w:rPr>
            </w:pPr>
          </w:p>
        </w:tc>
        <w:tc>
          <w:tcPr>
            <w:tcW w:w="1537" w:type="dxa"/>
            <w:vAlign w:val="center"/>
          </w:tcPr>
          <w:p w14:paraId="785E2DF5">
            <w:pPr>
              <w:jc w:val="center"/>
              <w:rPr>
                <w:color w:val="auto"/>
                <w:sz w:val="24"/>
                <w:szCs w:val="24"/>
              </w:rPr>
            </w:pPr>
          </w:p>
        </w:tc>
      </w:tr>
      <w:tr w14:paraId="00C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70FE6A4A">
            <w:pPr>
              <w:jc w:val="center"/>
              <w:rPr>
                <w:color w:val="auto"/>
                <w:sz w:val="24"/>
                <w:szCs w:val="24"/>
              </w:rPr>
            </w:pPr>
          </w:p>
        </w:tc>
        <w:tc>
          <w:tcPr>
            <w:tcW w:w="3576" w:type="dxa"/>
            <w:vAlign w:val="center"/>
          </w:tcPr>
          <w:p w14:paraId="5B14CFD4">
            <w:pPr>
              <w:rPr>
                <w:color w:val="auto"/>
                <w:sz w:val="24"/>
                <w:szCs w:val="24"/>
              </w:rPr>
            </w:pPr>
          </w:p>
        </w:tc>
        <w:tc>
          <w:tcPr>
            <w:tcW w:w="1748" w:type="dxa"/>
            <w:vAlign w:val="center"/>
          </w:tcPr>
          <w:p w14:paraId="0A500515">
            <w:pPr>
              <w:jc w:val="center"/>
              <w:rPr>
                <w:color w:val="auto"/>
                <w:sz w:val="24"/>
                <w:szCs w:val="24"/>
              </w:rPr>
            </w:pPr>
          </w:p>
        </w:tc>
        <w:tc>
          <w:tcPr>
            <w:tcW w:w="1951" w:type="dxa"/>
            <w:vAlign w:val="center"/>
          </w:tcPr>
          <w:p w14:paraId="1F8D4FC5">
            <w:pPr>
              <w:jc w:val="center"/>
              <w:rPr>
                <w:color w:val="auto"/>
                <w:sz w:val="24"/>
                <w:szCs w:val="24"/>
              </w:rPr>
            </w:pPr>
          </w:p>
        </w:tc>
        <w:tc>
          <w:tcPr>
            <w:tcW w:w="1537" w:type="dxa"/>
            <w:vAlign w:val="center"/>
          </w:tcPr>
          <w:p w14:paraId="51ED41F5">
            <w:pPr>
              <w:jc w:val="center"/>
              <w:rPr>
                <w:color w:val="auto"/>
                <w:sz w:val="24"/>
                <w:szCs w:val="24"/>
              </w:rPr>
            </w:pPr>
          </w:p>
        </w:tc>
      </w:tr>
      <w:tr w14:paraId="2850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4A13D0EC">
            <w:pPr>
              <w:jc w:val="center"/>
              <w:rPr>
                <w:color w:val="auto"/>
                <w:sz w:val="24"/>
                <w:szCs w:val="24"/>
              </w:rPr>
            </w:pPr>
          </w:p>
        </w:tc>
        <w:tc>
          <w:tcPr>
            <w:tcW w:w="3576" w:type="dxa"/>
            <w:vAlign w:val="center"/>
          </w:tcPr>
          <w:p w14:paraId="44037B0B">
            <w:pPr>
              <w:rPr>
                <w:color w:val="auto"/>
                <w:sz w:val="24"/>
                <w:szCs w:val="24"/>
              </w:rPr>
            </w:pPr>
          </w:p>
        </w:tc>
        <w:tc>
          <w:tcPr>
            <w:tcW w:w="1748" w:type="dxa"/>
            <w:vAlign w:val="center"/>
          </w:tcPr>
          <w:p w14:paraId="7CC5436C">
            <w:pPr>
              <w:jc w:val="center"/>
              <w:rPr>
                <w:color w:val="auto"/>
                <w:sz w:val="24"/>
                <w:szCs w:val="24"/>
              </w:rPr>
            </w:pPr>
          </w:p>
        </w:tc>
        <w:tc>
          <w:tcPr>
            <w:tcW w:w="1951" w:type="dxa"/>
            <w:vAlign w:val="center"/>
          </w:tcPr>
          <w:p w14:paraId="2CBBC20F">
            <w:pPr>
              <w:jc w:val="center"/>
              <w:rPr>
                <w:color w:val="auto"/>
                <w:sz w:val="24"/>
                <w:szCs w:val="24"/>
              </w:rPr>
            </w:pPr>
          </w:p>
        </w:tc>
        <w:tc>
          <w:tcPr>
            <w:tcW w:w="1537" w:type="dxa"/>
            <w:vAlign w:val="center"/>
          </w:tcPr>
          <w:p w14:paraId="677F38A3">
            <w:pPr>
              <w:jc w:val="center"/>
              <w:rPr>
                <w:color w:val="auto"/>
                <w:sz w:val="24"/>
                <w:szCs w:val="24"/>
              </w:rPr>
            </w:pPr>
          </w:p>
        </w:tc>
      </w:tr>
      <w:tr w14:paraId="0D2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5" w:type="dxa"/>
            <w:vAlign w:val="center"/>
          </w:tcPr>
          <w:p w14:paraId="1EB81865">
            <w:pPr>
              <w:jc w:val="center"/>
              <w:rPr>
                <w:color w:val="auto"/>
                <w:sz w:val="24"/>
                <w:szCs w:val="24"/>
              </w:rPr>
            </w:pPr>
          </w:p>
        </w:tc>
        <w:tc>
          <w:tcPr>
            <w:tcW w:w="3576" w:type="dxa"/>
            <w:vAlign w:val="center"/>
          </w:tcPr>
          <w:p w14:paraId="022E24F1">
            <w:pPr>
              <w:rPr>
                <w:color w:val="auto"/>
                <w:sz w:val="24"/>
                <w:szCs w:val="24"/>
              </w:rPr>
            </w:pPr>
          </w:p>
        </w:tc>
        <w:tc>
          <w:tcPr>
            <w:tcW w:w="1748" w:type="dxa"/>
            <w:vAlign w:val="center"/>
          </w:tcPr>
          <w:p w14:paraId="1C49F080">
            <w:pPr>
              <w:jc w:val="center"/>
              <w:rPr>
                <w:color w:val="auto"/>
                <w:sz w:val="24"/>
                <w:szCs w:val="24"/>
              </w:rPr>
            </w:pPr>
          </w:p>
        </w:tc>
        <w:tc>
          <w:tcPr>
            <w:tcW w:w="1951" w:type="dxa"/>
            <w:vAlign w:val="center"/>
          </w:tcPr>
          <w:p w14:paraId="4FB384FB">
            <w:pPr>
              <w:jc w:val="center"/>
              <w:rPr>
                <w:color w:val="auto"/>
                <w:sz w:val="24"/>
                <w:szCs w:val="24"/>
              </w:rPr>
            </w:pPr>
          </w:p>
        </w:tc>
        <w:tc>
          <w:tcPr>
            <w:tcW w:w="1537" w:type="dxa"/>
            <w:vAlign w:val="center"/>
          </w:tcPr>
          <w:p w14:paraId="1E7D9C15">
            <w:pPr>
              <w:jc w:val="center"/>
              <w:rPr>
                <w:color w:val="auto"/>
                <w:sz w:val="24"/>
                <w:szCs w:val="24"/>
              </w:rPr>
            </w:pPr>
          </w:p>
        </w:tc>
      </w:tr>
      <w:tr w14:paraId="16DF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14:paraId="3829E9BE">
            <w:pPr>
              <w:jc w:val="center"/>
              <w:rPr>
                <w:color w:val="auto"/>
                <w:sz w:val="24"/>
                <w:szCs w:val="24"/>
              </w:rPr>
            </w:pPr>
          </w:p>
        </w:tc>
        <w:tc>
          <w:tcPr>
            <w:tcW w:w="3576" w:type="dxa"/>
            <w:vAlign w:val="center"/>
          </w:tcPr>
          <w:p w14:paraId="555251C1">
            <w:pPr>
              <w:rPr>
                <w:color w:val="auto"/>
                <w:sz w:val="24"/>
                <w:szCs w:val="24"/>
              </w:rPr>
            </w:pPr>
          </w:p>
        </w:tc>
        <w:tc>
          <w:tcPr>
            <w:tcW w:w="1748" w:type="dxa"/>
            <w:vAlign w:val="center"/>
          </w:tcPr>
          <w:p w14:paraId="5FE54BDB">
            <w:pPr>
              <w:jc w:val="center"/>
              <w:rPr>
                <w:color w:val="auto"/>
                <w:sz w:val="24"/>
                <w:szCs w:val="24"/>
              </w:rPr>
            </w:pPr>
          </w:p>
        </w:tc>
        <w:tc>
          <w:tcPr>
            <w:tcW w:w="1951" w:type="dxa"/>
            <w:vAlign w:val="center"/>
          </w:tcPr>
          <w:p w14:paraId="32450C6D">
            <w:pPr>
              <w:jc w:val="center"/>
              <w:rPr>
                <w:color w:val="auto"/>
                <w:sz w:val="24"/>
                <w:szCs w:val="24"/>
              </w:rPr>
            </w:pPr>
          </w:p>
        </w:tc>
        <w:tc>
          <w:tcPr>
            <w:tcW w:w="1537" w:type="dxa"/>
            <w:vAlign w:val="center"/>
          </w:tcPr>
          <w:p w14:paraId="13548ECD">
            <w:pPr>
              <w:jc w:val="center"/>
              <w:rPr>
                <w:color w:val="auto"/>
                <w:sz w:val="24"/>
                <w:szCs w:val="24"/>
              </w:rPr>
            </w:pPr>
          </w:p>
        </w:tc>
      </w:tr>
      <w:tr w14:paraId="173A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14:paraId="48901000">
            <w:pPr>
              <w:jc w:val="center"/>
              <w:rPr>
                <w:color w:val="auto"/>
                <w:sz w:val="24"/>
                <w:szCs w:val="24"/>
              </w:rPr>
            </w:pPr>
          </w:p>
        </w:tc>
        <w:tc>
          <w:tcPr>
            <w:tcW w:w="3576" w:type="dxa"/>
            <w:vAlign w:val="center"/>
          </w:tcPr>
          <w:p w14:paraId="611A3EB2">
            <w:pPr>
              <w:rPr>
                <w:color w:val="auto"/>
                <w:sz w:val="24"/>
                <w:szCs w:val="24"/>
              </w:rPr>
            </w:pPr>
          </w:p>
        </w:tc>
        <w:tc>
          <w:tcPr>
            <w:tcW w:w="1748" w:type="dxa"/>
            <w:vAlign w:val="center"/>
          </w:tcPr>
          <w:p w14:paraId="44297B68">
            <w:pPr>
              <w:jc w:val="center"/>
              <w:rPr>
                <w:color w:val="auto"/>
                <w:sz w:val="24"/>
                <w:szCs w:val="24"/>
              </w:rPr>
            </w:pPr>
          </w:p>
        </w:tc>
        <w:tc>
          <w:tcPr>
            <w:tcW w:w="1951" w:type="dxa"/>
            <w:vAlign w:val="center"/>
          </w:tcPr>
          <w:p w14:paraId="533D7B95">
            <w:pPr>
              <w:jc w:val="center"/>
              <w:rPr>
                <w:color w:val="auto"/>
                <w:sz w:val="24"/>
                <w:szCs w:val="24"/>
              </w:rPr>
            </w:pPr>
          </w:p>
        </w:tc>
        <w:tc>
          <w:tcPr>
            <w:tcW w:w="1537" w:type="dxa"/>
            <w:vAlign w:val="center"/>
          </w:tcPr>
          <w:p w14:paraId="1758DD4E">
            <w:pPr>
              <w:jc w:val="center"/>
              <w:rPr>
                <w:color w:val="auto"/>
                <w:sz w:val="24"/>
                <w:szCs w:val="24"/>
              </w:rPr>
            </w:pPr>
          </w:p>
        </w:tc>
      </w:tr>
      <w:tr w14:paraId="37FC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5" w:type="dxa"/>
            <w:vAlign w:val="center"/>
          </w:tcPr>
          <w:p w14:paraId="0894CA07">
            <w:pPr>
              <w:jc w:val="center"/>
              <w:rPr>
                <w:color w:val="auto"/>
                <w:sz w:val="24"/>
                <w:szCs w:val="24"/>
              </w:rPr>
            </w:pPr>
          </w:p>
        </w:tc>
        <w:tc>
          <w:tcPr>
            <w:tcW w:w="3576" w:type="dxa"/>
            <w:vAlign w:val="center"/>
          </w:tcPr>
          <w:p w14:paraId="38F93984">
            <w:pPr>
              <w:rPr>
                <w:color w:val="auto"/>
                <w:sz w:val="24"/>
                <w:szCs w:val="24"/>
              </w:rPr>
            </w:pPr>
          </w:p>
          <w:p w14:paraId="6088FB31">
            <w:pPr>
              <w:bidi w:val="0"/>
              <w:jc w:val="center"/>
              <w:rPr>
                <w:rFonts w:ascii="Times New Roman" w:hAnsi="Times New Roman" w:eastAsia="宋体" w:cs="Times New Roman"/>
                <w:color w:val="auto"/>
                <w:kern w:val="2"/>
                <w:sz w:val="21"/>
                <w:szCs w:val="24"/>
                <w:lang w:val="en-US" w:eastAsia="zh-CN" w:bidi="ar-SA"/>
              </w:rPr>
            </w:pPr>
          </w:p>
        </w:tc>
        <w:tc>
          <w:tcPr>
            <w:tcW w:w="1748" w:type="dxa"/>
            <w:vAlign w:val="center"/>
          </w:tcPr>
          <w:p w14:paraId="274F7BE6">
            <w:pPr>
              <w:jc w:val="center"/>
              <w:rPr>
                <w:color w:val="auto"/>
                <w:sz w:val="24"/>
                <w:szCs w:val="24"/>
              </w:rPr>
            </w:pPr>
          </w:p>
        </w:tc>
        <w:tc>
          <w:tcPr>
            <w:tcW w:w="1951" w:type="dxa"/>
            <w:vAlign w:val="center"/>
          </w:tcPr>
          <w:p w14:paraId="28BB08E6">
            <w:pPr>
              <w:jc w:val="center"/>
              <w:rPr>
                <w:color w:val="auto"/>
                <w:sz w:val="24"/>
                <w:szCs w:val="24"/>
              </w:rPr>
            </w:pPr>
          </w:p>
        </w:tc>
        <w:tc>
          <w:tcPr>
            <w:tcW w:w="1537" w:type="dxa"/>
            <w:vAlign w:val="center"/>
          </w:tcPr>
          <w:p w14:paraId="62CB8452">
            <w:pPr>
              <w:jc w:val="center"/>
              <w:rPr>
                <w:color w:val="auto"/>
                <w:sz w:val="24"/>
                <w:szCs w:val="24"/>
              </w:rPr>
            </w:pPr>
          </w:p>
        </w:tc>
      </w:tr>
      <w:tr w14:paraId="6A0F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05" w:type="dxa"/>
            <w:vAlign w:val="center"/>
          </w:tcPr>
          <w:p w14:paraId="39790DE9">
            <w:pPr>
              <w:jc w:val="center"/>
              <w:rPr>
                <w:color w:val="auto"/>
                <w:sz w:val="24"/>
                <w:szCs w:val="24"/>
              </w:rPr>
            </w:pPr>
          </w:p>
        </w:tc>
        <w:tc>
          <w:tcPr>
            <w:tcW w:w="3576" w:type="dxa"/>
            <w:vAlign w:val="center"/>
          </w:tcPr>
          <w:p w14:paraId="00986D1F">
            <w:pPr>
              <w:rPr>
                <w:color w:val="auto"/>
                <w:sz w:val="24"/>
                <w:szCs w:val="24"/>
              </w:rPr>
            </w:pPr>
          </w:p>
        </w:tc>
        <w:tc>
          <w:tcPr>
            <w:tcW w:w="1748" w:type="dxa"/>
            <w:vAlign w:val="center"/>
          </w:tcPr>
          <w:p w14:paraId="7E734D11">
            <w:pPr>
              <w:jc w:val="center"/>
              <w:rPr>
                <w:color w:val="auto"/>
                <w:sz w:val="24"/>
                <w:szCs w:val="24"/>
              </w:rPr>
            </w:pPr>
          </w:p>
        </w:tc>
        <w:tc>
          <w:tcPr>
            <w:tcW w:w="1951" w:type="dxa"/>
            <w:vAlign w:val="center"/>
          </w:tcPr>
          <w:p w14:paraId="68660753">
            <w:pPr>
              <w:jc w:val="center"/>
              <w:rPr>
                <w:color w:val="auto"/>
                <w:sz w:val="24"/>
                <w:szCs w:val="24"/>
              </w:rPr>
            </w:pPr>
          </w:p>
        </w:tc>
        <w:tc>
          <w:tcPr>
            <w:tcW w:w="1537" w:type="dxa"/>
            <w:vAlign w:val="center"/>
          </w:tcPr>
          <w:p w14:paraId="6B071262">
            <w:pPr>
              <w:jc w:val="center"/>
              <w:rPr>
                <w:color w:val="auto"/>
                <w:sz w:val="24"/>
                <w:szCs w:val="24"/>
              </w:rPr>
            </w:pPr>
          </w:p>
        </w:tc>
      </w:tr>
    </w:tbl>
    <w:p w14:paraId="57D76AFE">
      <w:pPr>
        <w:pStyle w:val="2"/>
        <w:spacing w:before="112"/>
        <w:ind w:left="0" w:right="248"/>
        <w:jc w:val="center"/>
        <w:rPr>
          <w:rFonts w:ascii="华文中宋" w:hAnsi="华文中宋" w:eastAsia="华文中宋"/>
          <w:b w:val="0"/>
          <w:bCs w:val="0"/>
          <w:color w:val="auto"/>
          <w:sz w:val="36"/>
          <w:szCs w:val="36"/>
        </w:rPr>
      </w:pPr>
      <w:r>
        <w:rPr>
          <w:rFonts w:ascii="华文中宋" w:hAnsi="华文中宋" w:eastAsia="华文中宋"/>
          <w:b w:val="0"/>
          <w:bCs w:val="0"/>
          <w:color w:val="auto"/>
          <w:sz w:val="36"/>
          <w:szCs w:val="36"/>
        </w:rPr>
        <w:t>手册管理</w:t>
      </w:r>
    </w:p>
    <w:p w14:paraId="236DC8E5">
      <w:pPr>
        <w:pStyle w:val="5"/>
        <w:rPr>
          <w:bCs/>
          <w:color w:val="auto"/>
          <w:sz w:val="20"/>
        </w:rPr>
      </w:pPr>
    </w:p>
    <w:p w14:paraId="2B804A45">
      <w:pPr>
        <w:pStyle w:val="5"/>
        <w:rPr>
          <w:b/>
          <w:color w:val="auto"/>
          <w:sz w:val="20"/>
        </w:rPr>
      </w:pPr>
    </w:p>
    <w:p w14:paraId="312D6F26">
      <w:pPr>
        <w:pStyle w:val="5"/>
        <w:rPr>
          <w:b/>
          <w:color w:val="auto"/>
          <w:sz w:val="18"/>
        </w:rPr>
      </w:pPr>
    </w:p>
    <w:p w14:paraId="6066072A">
      <w:pPr>
        <w:pStyle w:val="5"/>
        <w:spacing w:line="360" w:lineRule="auto"/>
        <w:ind w:left="533"/>
        <w:rPr>
          <w:color w:val="auto"/>
        </w:rPr>
      </w:pPr>
      <w:r>
        <w:rPr>
          <w:rFonts w:hint="eastAsia"/>
          <w:color w:val="auto"/>
          <w:sz w:val="24"/>
          <w:szCs w:val="24"/>
        </w:rPr>
        <w:t>手册编写：本</w:t>
      </w:r>
      <w:r>
        <w:rPr>
          <w:color w:val="auto"/>
          <w:sz w:val="24"/>
          <w:szCs w:val="24"/>
        </w:rPr>
        <w:t>手册由公司</w:t>
      </w:r>
      <w:r>
        <w:rPr>
          <w:rFonts w:hint="eastAsia"/>
          <w:color w:val="auto"/>
          <w:sz w:val="24"/>
          <w:szCs w:val="24"/>
        </w:rPr>
        <w:t>技术</w:t>
      </w:r>
      <w:r>
        <w:rPr>
          <w:color w:val="auto"/>
          <w:sz w:val="24"/>
          <w:szCs w:val="24"/>
        </w:rPr>
        <w:t>部</w:t>
      </w:r>
      <w:r>
        <w:rPr>
          <w:rFonts w:hint="eastAsia"/>
          <w:color w:val="auto"/>
          <w:sz w:val="24"/>
          <w:szCs w:val="24"/>
        </w:rPr>
        <w:t>及审核部</w:t>
      </w:r>
      <w:r>
        <w:rPr>
          <w:color w:val="auto"/>
          <w:sz w:val="24"/>
          <w:szCs w:val="24"/>
        </w:rPr>
        <w:t>组织编写，公司总经理批准发布。</w:t>
      </w:r>
    </w:p>
    <w:p w14:paraId="6890019C">
      <w:pPr>
        <w:pStyle w:val="5"/>
        <w:spacing w:line="360" w:lineRule="auto"/>
        <w:ind w:left="535"/>
        <w:rPr>
          <w:color w:val="auto"/>
          <w:sz w:val="24"/>
          <w:szCs w:val="24"/>
        </w:rPr>
      </w:pPr>
      <w:r>
        <w:rPr>
          <w:color w:val="auto"/>
          <w:sz w:val="24"/>
          <w:szCs w:val="24"/>
        </w:rPr>
        <w:t>手册发放和使用：本手册属公司受控文件，采用 PDF 格式电子版形式通过公司信息管理系统发布。</w:t>
      </w:r>
    </w:p>
    <w:p w14:paraId="5E94D094">
      <w:pPr>
        <w:pStyle w:val="5"/>
        <w:spacing w:before="1" w:line="360" w:lineRule="auto"/>
        <w:ind w:left="113" w:right="414" w:firstLine="420"/>
        <w:rPr>
          <w:color w:val="auto"/>
          <w:sz w:val="24"/>
          <w:szCs w:val="24"/>
        </w:rPr>
      </w:pPr>
      <w:r>
        <w:rPr>
          <w:color w:val="auto"/>
          <w:sz w:val="24"/>
          <w:szCs w:val="24"/>
        </w:rPr>
        <w:t>手册定期评审、修订：根据国家认证认可法规、认可规则、行业自律规范及公司发展要求，公司每年定期对手册内容进行评审，必要时予以修订，确保本手册的适宜性、充分性和有效性。</w:t>
      </w:r>
    </w:p>
    <w:p w14:paraId="7782A6AC">
      <w:pPr>
        <w:pStyle w:val="5"/>
        <w:spacing w:before="1" w:line="360" w:lineRule="auto"/>
        <w:rPr>
          <w:color w:val="auto"/>
          <w:sz w:val="14"/>
        </w:rPr>
      </w:pPr>
    </w:p>
    <w:p w14:paraId="1F3F0DBD">
      <w:pPr>
        <w:pStyle w:val="5"/>
        <w:spacing w:line="360" w:lineRule="auto"/>
        <w:ind w:left="112" w:right="412" w:firstLine="480" w:firstLineChars="200"/>
        <w:jc w:val="both"/>
        <w:rPr>
          <w:color w:val="auto"/>
          <w:sz w:val="24"/>
          <w:szCs w:val="24"/>
        </w:rPr>
      </w:pPr>
      <w:r>
        <w:rPr>
          <w:color w:val="auto"/>
          <w:sz w:val="24"/>
          <w:szCs w:val="24"/>
        </w:rPr>
        <w:t>编写目的：本手册规定了审核实施过程的职责权限、纪律和行为规范、工作内容及相关要求，旨在为全体审核员从事管理体系审核提供培训和支持，帮助审核员迅速掌握审核要求、增强审核技能、提高审核质量、提升认证有效性。依据审核工作流程依次描述各个阶段审核的工作内容和相关要求，全体审核员应严格遵守。</w:t>
      </w:r>
    </w:p>
    <w:p w14:paraId="1D98D656">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561921ED">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44A7A8EA">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3AC4CC8C">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5F897047">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66D49271">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60F803B7">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5A6FB3E6">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27FB8180">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545748EE">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0C03E133">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0D1C4499">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59526437">
      <w:pPr>
        <w:pStyle w:val="21"/>
        <w:numPr>
          <w:ilvl w:val="0"/>
          <w:numId w:val="0"/>
        </w:numPr>
        <w:tabs>
          <w:tab w:val="left" w:pos="810"/>
        </w:tabs>
        <w:spacing w:before="146" w:line="345" w:lineRule="auto"/>
        <w:ind w:right="649" w:rightChars="0"/>
        <w:rPr>
          <w:rFonts w:ascii="宋体" w:hAnsi="宋体" w:eastAsia="宋体"/>
          <w:color w:val="auto"/>
          <w:sz w:val="24"/>
          <w:szCs w:val="24"/>
        </w:rPr>
      </w:pPr>
    </w:p>
    <w:p w14:paraId="6B7372F2">
      <w:pPr>
        <w:pStyle w:val="2"/>
        <w:ind w:left="0" w:right="911"/>
        <w:jc w:val="center"/>
        <w:rPr>
          <w:rFonts w:ascii="华文中宋" w:hAnsi="华文中宋" w:eastAsia="华文中宋"/>
          <w:color w:val="auto"/>
          <w:sz w:val="36"/>
          <w:szCs w:val="36"/>
        </w:rPr>
      </w:pPr>
      <w:r>
        <w:rPr>
          <w:rFonts w:ascii="华文中宋" w:hAnsi="华文中宋" w:eastAsia="华文中宋"/>
          <w:color w:val="auto"/>
          <w:sz w:val="36"/>
          <w:szCs w:val="36"/>
        </w:rPr>
        <w:t>第一章 职责和权限</w:t>
      </w:r>
    </w:p>
    <w:p w14:paraId="6F111FA4">
      <w:pPr>
        <w:pStyle w:val="5"/>
        <w:rPr>
          <w:b/>
          <w:color w:val="auto"/>
          <w:sz w:val="20"/>
        </w:rPr>
      </w:pPr>
    </w:p>
    <w:p w14:paraId="2D08ADF8">
      <w:pPr>
        <w:pStyle w:val="5"/>
        <w:spacing w:before="8"/>
        <w:rPr>
          <w:b/>
          <w:color w:val="auto"/>
          <w:sz w:val="17"/>
        </w:rPr>
      </w:pPr>
    </w:p>
    <w:p w14:paraId="6206393B">
      <w:pPr>
        <w:ind w:left="113" w:firstLine="480" w:firstLineChars="200"/>
        <w:rPr>
          <w:rFonts w:ascii="黑体" w:hAnsi="黑体" w:eastAsia="黑体"/>
          <w:color w:val="auto"/>
          <w:sz w:val="24"/>
          <w:szCs w:val="24"/>
        </w:rPr>
      </w:pPr>
      <w:r>
        <w:rPr>
          <w:rFonts w:ascii="黑体" w:hAnsi="黑体" w:eastAsia="黑体"/>
          <w:color w:val="auto"/>
          <w:sz w:val="24"/>
          <w:szCs w:val="24"/>
        </w:rPr>
        <w:t>第 01 条 审核组长的职责和权限</w:t>
      </w:r>
    </w:p>
    <w:p w14:paraId="660087A3">
      <w:pPr>
        <w:pStyle w:val="5"/>
        <w:rPr>
          <w:b/>
          <w:color w:val="auto"/>
        </w:rPr>
      </w:pPr>
    </w:p>
    <w:p w14:paraId="185C936C">
      <w:pPr>
        <w:pStyle w:val="5"/>
        <w:spacing w:line="360" w:lineRule="auto"/>
        <w:ind w:left="953" w:right="306" w:firstLine="456" w:firstLineChars="200"/>
        <w:jc w:val="both"/>
        <w:rPr>
          <w:color w:val="auto"/>
          <w:sz w:val="24"/>
          <w:szCs w:val="24"/>
        </w:rPr>
      </w:pPr>
      <w:r>
        <w:rPr>
          <w:color w:val="auto"/>
          <w:spacing w:val="-6"/>
          <w:sz w:val="24"/>
          <w:szCs w:val="24"/>
        </w:rPr>
        <w:t>负责与企业、审核部等各方面的协调与联系。审核计划的制定、组内充分沟通、实施和监督控制并反馈审核组成员的工作表现，异常问题及时上报审核部；认真完成各阶段涉及本人过程的审核</w:t>
      </w:r>
      <w:r>
        <w:rPr>
          <w:color w:val="auto"/>
          <w:spacing w:val="-7"/>
          <w:sz w:val="24"/>
          <w:szCs w:val="24"/>
        </w:rPr>
        <w:t>记录、不符合项报告及审核报告；负责对审核组员的审核记录、审核报告质量实施检查；负责企</w:t>
      </w:r>
      <w:r>
        <w:rPr>
          <w:color w:val="auto"/>
          <w:spacing w:val="-6"/>
          <w:sz w:val="24"/>
          <w:szCs w:val="24"/>
        </w:rPr>
        <w:t>业不符合项纠正措施的验证及整理审核报告；负责向审核部上交全部审核资料及解决审核资料评</w:t>
      </w:r>
      <w:r>
        <w:rPr>
          <w:color w:val="auto"/>
          <w:spacing w:val="-4"/>
          <w:sz w:val="24"/>
          <w:szCs w:val="24"/>
        </w:rPr>
        <w:t>定时发现的问题。</w:t>
      </w:r>
    </w:p>
    <w:p w14:paraId="3B7FCF52">
      <w:pPr>
        <w:pStyle w:val="5"/>
        <w:spacing w:before="1" w:line="360" w:lineRule="auto"/>
        <w:rPr>
          <w:color w:val="auto"/>
          <w:sz w:val="18"/>
        </w:rPr>
      </w:pPr>
    </w:p>
    <w:p w14:paraId="78CD7BC2">
      <w:pPr>
        <w:pStyle w:val="2"/>
        <w:ind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02 条 审核员的职责和权限</w:t>
      </w:r>
    </w:p>
    <w:p w14:paraId="23B1CB47">
      <w:pPr>
        <w:pStyle w:val="5"/>
        <w:spacing w:before="2"/>
        <w:rPr>
          <w:b/>
          <w:color w:val="auto"/>
        </w:rPr>
      </w:pPr>
    </w:p>
    <w:p w14:paraId="5E5F6A97">
      <w:pPr>
        <w:pStyle w:val="5"/>
        <w:spacing w:line="360" w:lineRule="auto"/>
        <w:ind w:left="953" w:right="306" w:firstLine="456" w:firstLineChars="200"/>
        <w:jc w:val="both"/>
        <w:rPr>
          <w:color w:val="auto"/>
          <w:spacing w:val="-6"/>
          <w:sz w:val="24"/>
          <w:szCs w:val="24"/>
        </w:rPr>
      </w:pPr>
      <w:r>
        <w:rPr>
          <w:color w:val="auto"/>
          <w:spacing w:val="-6"/>
          <w:sz w:val="24"/>
          <w:szCs w:val="24"/>
        </w:rPr>
        <w:t>负责严格按照审核计划开展审核工作，积极主动支持、配合审核组长工作。负责在审核现场收集并核实真实证据，认真完成各阶段涉及本人过程的审核记录、不符合项报告及审核报告。审核组长认定不符合要求的审核记录、审核报告，审核组员应及时于当日内纠正。负责协助公司收集企业相关信息，反馈市场需求。</w:t>
      </w:r>
    </w:p>
    <w:p w14:paraId="4A8EE25B">
      <w:pPr>
        <w:pStyle w:val="5"/>
        <w:spacing w:before="9"/>
        <w:rPr>
          <w:color w:val="auto"/>
          <w:sz w:val="17"/>
        </w:rPr>
      </w:pPr>
    </w:p>
    <w:p w14:paraId="01C0C6E8">
      <w:pPr>
        <w:pStyle w:val="2"/>
        <w:ind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03 条 实习审核员的职责和权限</w:t>
      </w:r>
    </w:p>
    <w:p w14:paraId="48A0A9BE">
      <w:pPr>
        <w:pStyle w:val="5"/>
        <w:spacing w:before="12"/>
        <w:rPr>
          <w:b/>
          <w:color w:val="auto"/>
          <w:sz w:val="20"/>
        </w:rPr>
      </w:pPr>
    </w:p>
    <w:p w14:paraId="39C0D9CA">
      <w:pPr>
        <w:pStyle w:val="5"/>
        <w:spacing w:line="360" w:lineRule="auto"/>
        <w:ind w:left="953" w:right="306" w:firstLine="456" w:firstLineChars="200"/>
        <w:jc w:val="both"/>
        <w:rPr>
          <w:color w:val="auto"/>
          <w:spacing w:val="-6"/>
          <w:sz w:val="24"/>
          <w:szCs w:val="24"/>
        </w:rPr>
      </w:pPr>
      <w:r>
        <w:rPr>
          <w:color w:val="auto"/>
          <w:spacing w:val="-6"/>
          <w:sz w:val="24"/>
          <w:szCs w:val="24"/>
        </w:rPr>
        <w:t>在级别审核员的指导下参与认证审核活动，但不能独立实施审核，不单独出具记录等审核文件。实习审核员参与的认证审核活动被作为其晋级的经历时，其必须参与现场审核的全过程的活动， 不得迟到早退，积极参与内部沟通会议和交流会议</w:t>
      </w:r>
      <w:r>
        <w:rPr>
          <w:rFonts w:hint="eastAsia"/>
          <w:color w:val="auto"/>
          <w:spacing w:val="-6"/>
          <w:sz w:val="24"/>
          <w:szCs w:val="24"/>
        </w:rPr>
        <w:t>。</w:t>
      </w:r>
    </w:p>
    <w:p w14:paraId="2B899991">
      <w:pPr>
        <w:pStyle w:val="5"/>
        <w:rPr>
          <w:color w:val="auto"/>
        </w:rPr>
      </w:pPr>
    </w:p>
    <w:p w14:paraId="17A35E39">
      <w:pPr>
        <w:pStyle w:val="2"/>
        <w:ind w:left="0"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04 条 见证审核员的职责和权限</w:t>
      </w:r>
    </w:p>
    <w:p w14:paraId="797D6C82">
      <w:pPr>
        <w:pStyle w:val="5"/>
        <w:spacing w:before="9" w:line="360" w:lineRule="auto"/>
        <w:ind w:firstLine="482" w:firstLineChars="200"/>
        <w:rPr>
          <w:b/>
          <w:color w:val="auto"/>
          <w:sz w:val="24"/>
          <w:szCs w:val="24"/>
        </w:rPr>
      </w:pPr>
    </w:p>
    <w:p w14:paraId="40A65156">
      <w:pPr>
        <w:pStyle w:val="5"/>
        <w:spacing w:line="360" w:lineRule="auto"/>
        <w:ind w:left="953" w:right="306" w:firstLine="456" w:firstLineChars="200"/>
        <w:jc w:val="both"/>
        <w:rPr>
          <w:color w:val="auto"/>
          <w:spacing w:val="-6"/>
          <w:sz w:val="24"/>
          <w:szCs w:val="24"/>
        </w:rPr>
      </w:pPr>
      <w:r>
        <w:rPr>
          <w:color w:val="auto"/>
          <w:spacing w:val="-6"/>
          <w:sz w:val="24"/>
          <w:szCs w:val="24"/>
        </w:rPr>
        <w:t>按照 CCAA 的见证工作要求，对实习审核员和审核员的审核活动、审核管理活动进行现场见证和能力评价，并出具见证评价报告。只对所见到的事实进行描述和评价，以本人的专业能力和经验对申请人的个人素质和能力作出客观的判断，不能代替申请人进行相关审核活动，否则本次审核见证经历将不被承认。</w:t>
      </w:r>
    </w:p>
    <w:p w14:paraId="00C0C01C">
      <w:pPr>
        <w:pStyle w:val="5"/>
        <w:spacing w:before="11"/>
        <w:rPr>
          <w:color w:val="auto"/>
          <w:sz w:val="16"/>
        </w:rPr>
      </w:pPr>
    </w:p>
    <w:p w14:paraId="3D600BA3">
      <w:pPr>
        <w:pStyle w:val="2"/>
        <w:ind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05 条 技术专家的职责和权限</w:t>
      </w:r>
    </w:p>
    <w:p w14:paraId="5270A9DA">
      <w:pPr>
        <w:pStyle w:val="5"/>
        <w:spacing w:before="10"/>
        <w:rPr>
          <w:b/>
          <w:color w:val="auto"/>
          <w:sz w:val="17"/>
        </w:rPr>
      </w:pPr>
    </w:p>
    <w:p w14:paraId="0671E8A0">
      <w:pPr>
        <w:pStyle w:val="5"/>
        <w:spacing w:line="360" w:lineRule="auto"/>
        <w:ind w:left="953" w:right="306" w:firstLine="456" w:firstLineChars="200"/>
        <w:jc w:val="both"/>
        <w:rPr>
          <w:color w:val="auto"/>
          <w:spacing w:val="-6"/>
          <w:sz w:val="24"/>
          <w:szCs w:val="24"/>
        </w:rPr>
      </w:pPr>
    </w:p>
    <w:p w14:paraId="5D06F74C">
      <w:pPr>
        <w:pStyle w:val="5"/>
        <w:spacing w:line="360" w:lineRule="auto"/>
        <w:ind w:left="953" w:right="306" w:firstLine="456" w:firstLineChars="200"/>
        <w:jc w:val="both"/>
        <w:rPr>
          <w:color w:val="auto"/>
          <w:spacing w:val="-6"/>
          <w:sz w:val="24"/>
          <w:szCs w:val="24"/>
        </w:rPr>
      </w:pPr>
    </w:p>
    <w:p w14:paraId="3D07C03D">
      <w:pPr>
        <w:pStyle w:val="5"/>
        <w:spacing w:line="360" w:lineRule="auto"/>
        <w:ind w:left="953" w:right="306" w:firstLine="456" w:firstLineChars="200"/>
        <w:jc w:val="both"/>
        <w:rPr>
          <w:color w:val="auto"/>
          <w:spacing w:val="-6"/>
          <w:sz w:val="24"/>
          <w:szCs w:val="24"/>
        </w:rPr>
      </w:pPr>
      <w:r>
        <w:rPr>
          <w:color w:val="auto"/>
          <w:spacing w:val="-6"/>
          <w:sz w:val="24"/>
          <w:szCs w:val="24"/>
        </w:rPr>
        <w:t>在审核过程中提供技术支持，协助相关审核员进行专业条款及部门审核，协助审核组作出有关专 业条款有效控制的评价，技术专家应在审核记录上签名认可，不得代签。技术专家不承担出具不 符合报告的职责，如发现企业管理体系中不符合情况或可能存在不符合的线索应提请审核员注意。</w:t>
      </w:r>
    </w:p>
    <w:p w14:paraId="6C342EA3">
      <w:pPr>
        <w:pStyle w:val="5"/>
        <w:rPr>
          <w:color w:val="auto"/>
        </w:rPr>
      </w:pPr>
    </w:p>
    <w:p w14:paraId="3F3C04AD">
      <w:pPr>
        <w:ind w:left="112" w:firstLine="480" w:firstLineChars="200"/>
        <w:rPr>
          <w:rFonts w:ascii="黑体" w:hAnsi="黑体" w:eastAsia="黑体"/>
          <w:color w:val="auto"/>
          <w:sz w:val="24"/>
          <w:szCs w:val="24"/>
        </w:rPr>
      </w:pPr>
      <w:r>
        <w:rPr>
          <w:rFonts w:ascii="黑体" w:hAnsi="黑体" w:eastAsia="黑体"/>
          <w:color w:val="auto"/>
          <w:sz w:val="24"/>
          <w:szCs w:val="24"/>
        </w:rPr>
        <w:t>第 06 条 审核员隶属部门</w:t>
      </w:r>
    </w:p>
    <w:p w14:paraId="76FE47B7">
      <w:pPr>
        <w:pStyle w:val="5"/>
        <w:spacing w:before="7"/>
        <w:ind w:firstLine="402" w:firstLineChars="200"/>
        <w:rPr>
          <w:b/>
          <w:color w:val="auto"/>
          <w:sz w:val="20"/>
        </w:rPr>
      </w:pPr>
    </w:p>
    <w:p w14:paraId="32AA7F72">
      <w:pPr>
        <w:pStyle w:val="5"/>
        <w:spacing w:line="360" w:lineRule="auto"/>
        <w:ind w:left="953" w:right="306" w:firstLine="456" w:firstLineChars="200"/>
        <w:jc w:val="both"/>
        <w:rPr>
          <w:color w:val="auto"/>
          <w:spacing w:val="-6"/>
          <w:sz w:val="24"/>
          <w:szCs w:val="24"/>
        </w:rPr>
      </w:pPr>
      <w:r>
        <w:rPr>
          <w:color w:val="auto"/>
          <w:spacing w:val="-6"/>
          <w:sz w:val="24"/>
          <w:szCs w:val="24"/>
        </w:rPr>
        <w:t>审核员隶属于公司审核部，审核员具体管理、服务工作由审核部负责实施，审核部负责人为审核员直接领导。工作中具体事宜，审核员可直接联系审核部负责人，其会及时为审核员提供周到的服务。</w:t>
      </w:r>
    </w:p>
    <w:p w14:paraId="5CDF9F8F">
      <w:pPr>
        <w:pStyle w:val="2"/>
        <w:ind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07 条 与审核员相关部门的职责</w:t>
      </w:r>
    </w:p>
    <w:p w14:paraId="14416F95">
      <w:pPr>
        <w:pStyle w:val="5"/>
        <w:spacing w:before="8"/>
        <w:ind w:firstLine="341" w:firstLineChars="200"/>
        <w:rPr>
          <w:b/>
          <w:color w:val="auto"/>
          <w:sz w:val="17"/>
        </w:rPr>
      </w:pPr>
    </w:p>
    <w:p w14:paraId="7F8A1D5A">
      <w:pPr>
        <w:pStyle w:val="5"/>
        <w:spacing w:line="360" w:lineRule="auto"/>
        <w:ind w:left="953" w:right="306" w:firstLine="456" w:firstLineChars="200"/>
        <w:jc w:val="both"/>
        <w:rPr>
          <w:color w:val="auto"/>
          <w:sz w:val="28"/>
        </w:rPr>
      </w:pPr>
      <w:r>
        <w:rPr>
          <w:color w:val="auto"/>
          <w:spacing w:val="-6"/>
          <w:sz w:val="24"/>
          <w:szCs w:val="24"/>
        </w:rPr>
        <w:t>涉及与相关职能部门具体事宜的处理，请查见以下与审核员相关部门的职责描述。</w:t>
      </w:r>
    </w:p>
    <w:p w14:paraId="65E2AD71">
      <w:pPr>
        <w:pStyle w:val="21"/>
        <w:numPr>
          <w:ilvl w:val="0"/>
          <w:numId w:val="0"/>
        </w:numPr>
        <w:tabs>
          <w:tab w:val="left" w:pos="810"/>
        </w:tabs>
        <w:spacing w:before="146" w:line="345" w:lineRule="auto"/>
        <w:ind w:right="649" w:rightChars="0"/>
        <w:rPr>
          <w:rFonts w:ascii="宋体" w:hAnsi="宋体" w:eastAsia="宋体"/>
          <w:color w:val="auto"/>
          <w:sz w:val="24"/>
          <w:szCs w:val="24"/>
        </w:rPr>
      </w:pPr>
    </w:p>
    <w:tbl>
      <w:tblPr>
        <w:tblStyle w:val="13"/>
        <w:tblW w:w="8011" w:type="dxa"/>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6398"/>
      </w:tblGrid>
      <w:tr w14:paraId="1E9F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13" w:type="dxa"/>
          </w:tcPr>
          <w:p w14:paraId="56DD63F8">
            <w:pPr>
              <w:pStyle w:val="22"/>
              <w:spacing w:before="22"/>
              <w:ind w:left="107"/>
              <w:jc w:val="center"/>
              <w:rPr>
                <w:color w:val="auto"/>
                <w:sz w:val="24"/>
                <w:szCs w:val="24"/>
              </w:rPr>
            </w:pPr>
            <w:r>
              <w:rPr>
                <w:color w:val="auto"/>
                <w:sz w:val="24"/>
                <w:szCs w:val="24"/>
              </w:rPr>
              <w:t>审核部</w:t>
            </w:r>
          </w:p>
        </w:tc>
        <w:tc>
          <w:tcPr>
            <w:tcW w:w="6398" w:type="dxa"/>
          </w:tcPr>
          <w:p w14:paraId="3C67E19C">
            <w:pPr>
              <w:pStyle w:val="22"/>
              <w:spacing w:before="22"/>
              <w:rPr>
                <w:color w:val="auto"/>
                <w:sz w:val="24"/>
                <w:szCs w:val="24"/>
              </w:rPr>
            </w:pPr>
            <w:r>
              <w:rPr>
                <w:rFonts w:hint="eastAsia"/>
                <w:color w:val="auto"/>
                <w:sz w:val="24"/>
                <w:szCs w:val="24"/>
              </w:rPr>
              <w:t>1、</w:t>
            </w:r>
            <w:r>
              <w:rPr>
                <w:color w:val="auto"/>
                <w:sz w:val="24"/>
                <w:szCs w:val="24"/>
              </w:rPr>
              <w:t>责全体审核员、技术专家的行政管理工作。</w:t>
            </w:r>
          </w:p>
        </w:tc>
      </w:tr>
      <w:tr w14:paraId="100CC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2402149D">
            <w:pPr>
              <w:pStyle w:val="22"/>
              <w:spacing w:before="22"/>
              <w:ind w:left="107"/>
              <w:jc w:val="center"/>
              <w:rPr>
                <w:color w:val="auto"/>
                <w:sz w:val="24"/>
                <w:szCs w:val="24"/>
              </w:rPr>
            </w:pPr>
          </w:p>
        </w:tc>
        <w:tc>
          <w:tcPr>
            <w:tcW w:w="6398" w:type="dxa"/>
          </w:tcPr>
          <w:p w14:paraId="4DB5FDD8">
            <w:pPr>
              <w:pStyle w:val="22"/>
              <w:spacing w:before="22" w:line="233" w:lineRule="exact"/>
              <w:rPr>
                <w:color w:val="auto"/>
                <w:sz w:val="24"/>
                <w:szCs w:val="24"/>
              </w:rPr>
            </w:pPr>
            <w:r>
              <w:rPr>
                <w:rFonts w:hint="eastAsia"/>
                <w:color w:val="auto"/>
                <w:sz w:val="24"/>
                <w:szCs w:val="24"/>
              </w:rPr>
              <w:t>2、</w:t>
            </w:r>
            <w:r>
              <w:rPr>
                <w:color w:val="auto"/>
                <w:sz w:val="24"/>
                <w:szCs w:val="24"/>
              </w:rPr>
              <w:t>审核计划安排（含实习计划）及计划变更处理；</w:t>
            </w:r>
          </w:p>
        </w:tc>
      </w:tr>
      <w:tr w14:paraId="37BFD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613" w:type="dxa"/>
          </w:tcPr>
          <w:p w14:paraId="79449615">
            <w:pPr>
              <w:pStyle w:val="22"/>
              <w:jc w:val="center"/>
              <w:rPr>
                <w:rFonts w:ascii="Times New Roman"/>
                <w:color w:val="auto"/>
                <w:sz w:val="24"/>
                <w:szCs w:val="24"/>
              </w:rPr>
            </w:pPr>
          </w:p>
        </w:tc>
        <w:tc>
          <w:tcPr>
            <w:tcW w:w="6398" w:type="dxa"/>
          </w:tcPr>
          <w:p w14:paraId="13EE8F54">
            <w:pPr>
              <w:pStyle w:val="22"/>
              <w:spacing w:before="22" w:line="233" w:lineRule="exact"/>
              <w:rPr>
                <w:color w:val="auto"/>
                <w:sz w:val="24"/>
                <w:szCs w:val="24"/>
              </w:rPr>
            </w:pPr>
            <w:r>
              <w:rPr>
                <w:rFonts w:hint="eastAsia"/>
                <w:color w:val="auto"/>
                <w:sz w:val="24"/>
                <w:szCs w:val="24"/>
              </w:rPr>
              <w:t>3、</w:t>
            </w:r>
            <w:r>
              <w:rPr>
                <w:color w:val="auto"/>
                <w:sz w:val="24"/>
                <w:szCs w:val="24"/>
              </w:rPr>
              <w:t>请假事宜；</w:t>
            </w:r>
          </w:p>
        </w:tc>
      </w:tr>
      <w:tr w14:paraId="1E94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73406DC1">
            <w:pPr>
              <w:pStyle w:val="22"/>
              <w:jc w:val="center"/>
              <w:rPr>
                <w:rFonts w:ascii="Times New Roman"/>
                <w:color w:val="auto"/>
                <w:sz w:val="24"/>
                <w:szCs w:val="24"/>
              </w:rPr>
            </w:pPr>
          </w:p>
        </w:tc>
        <w:tc>
          <w:tcPr>
            <w:tcW w:w="6398" w:type="dxa"/>
          </w:tcPr>
          <w:p w14:paraId="7304EDDE">
            <w:pPr>
              <w:pStyle w:val="22"/>
              <w:spacing w:before="22"/>
              <w:rPr>
                <w:color w:val="auto"/>
                <w:sz w:val="24"/>
                <w:szCs w:val="24"/>
              </w:rPr>
            </w:pPr>
            <w:r>
              <w:rPr>
                <w:rFonts w:hint="eastAsia"/>
                <w:color w:val="auto"/>
                <w:sz w:val="24"/>
                <w:szCs w:val="24"/>
              </w:rPr>
              <w:t>4、</w:t>
            </w:r>
            <w:r>
              <w:rPr>
                <w:color w:val="auto"/>
                <w:sz w:val="24"/>
                <w:szCs w:val="24"/>
              </w:rPr>
              <w:t>审核计划的接收及检查；</w:t>
            </w:r>
          </w:p>
        </w:tc>
      </w:tr>
      <w:tr w14:paraId="7F3F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386393EE">
            <w:pPr>
              <w:pStyle w:val="22"/>
              <w:spacing w:before="22"/>
              <w:jc w:val="center"/>
              <w:rPr>
                <w:color w:val="auto"/>
                <w:sz w:val="24"/>
                <w:szCs w:val="24"/>
              </w:rPr>
            </w:pPr>
          </w:p>
        </w:tc>
        <w:tc>
          <w:tcPr>
            <w:tcW w:w="6398" w:type="dxa"/>
          </w:tcPr>
          <w:p w14:paraId="767475C1">
            <w:pPr>
              <w:pStyle w:val="22"/>
              <w:spacing w:before="22"/>
              <w:rPr>
                <w:color w:val="auto"/>
                <w:sz w:val="24"/>
                <w:szCs w:val="24"/>
              </w:rPr>
            </w:pPr>
            <w:r>
              <w:rPr>
                <w:rFonts w:hint="eastAsia"/>
                <w:color w:val="auto"/>
                <w:sz w:val="24"/>
                <w:szCs w:val="24"/>
              </w:rPr>
              <w:t>5、</w:t>
            </w:r>
            <w:r>
              <w:rPr>
                <w:color w:val="auto"/>
                <w:sz w:val="24"/>
                <w:szCs w:val="24"/>
              </w:rPr>
              <w:t>现场审核异常处理</w:t>
            </w:r>
          </w:p>
        </w:tc>
      </w:tr>
      <w:tr w14:paraId="5556A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40D293F2">
            <w:pPr>
              <w:pStyle w:val="22"/>
              <w:jc w:val="center"/>
              <w:rPr>
                <w:rFonts w:ascii="Times New Roman"/>
                <w:color w:val="auto"/>
                <w:sz w:val="24"/>
                <w:szCs w:val="24"/>
              </w:rPr>
            </w:pPr>
          </w:p>
        </w:tc>
        <w:tc>
          <w:tcPr>
            <w:tcW w:w="6398" w:type="dxa"/>
          </w:tcPr>
          <w:p w14:paraId="579D5E11">
            <w:pPr>
              <w:pStyle w:val="22"/>
              <w:spacing w:before="22"/>
              <w:rPr>
                <w:color w:val="auto"/>
                <w:sz w:val="24"/>
                <w:szCs w:val="24"/>
              </w:rPr>
            </w:pPr>
            <w:r>
              <w:rPr>
                <w:rFonts w:hint="eastAsia"/>
                <w:color w:val="auto"/>
                <w:sz w:val="24"/>
                <w:szCs w:val="24"/>
              </w:rPr>
              <w:t>6、</w:t>
            </w:r>
            <w:r>
              <w:rPr>
                <w:color w:val="auto"/>
                <w:sz w:val="24"/>
                <w:szCs w:val="24"/>
              </w:rPr>
              <w:t>费用报销处理；</w:t>
            </w:r>
          </w:p>
        </w:tc>
      </w:tr>
      <w:tr w14:paraId="67555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4D6E82C3">
            <w:pPr>
              <w:pStyle w:val="22"/>
              <w:jc w:val="center"/>
              <w:rPr>
                <w:rFonts w:ascii="Times New Roman"/>
                <w:color w:val="auto"/>
                <w:sz w:val="24"/>
                <w:szCs w:val="24"/>
              </w:rPr>
            </w:pPr>
          </w:p>
        </w:tc>
        <w:tc>
          <w:tcPr>
            <w:tcW w:w="6398" w:type="dxa"/>
          </w:tcPr>
          <w:p w14:paraId="5B21CDAE">
            <w:pPr>
              <w:pStyle w:val="22"/>
              <w:spacing w:before="22"/>
              <w:rPr>
                <w:color w:val="auto"/>
                <w:sz w:val="24"/>
                <w:szCs w:val="24"/>
              </w:rPr>
            </w:pPr>
            <w:r>
              <w:rPr>
                <w:rFonts w:hint="eastAsia"/>
                <w:color w:val="auto"/>
                <w:sz w:val="24"/>
                <w:szCs w:val="24"/>
              </w:rPr>
              <w:t>7、</w:t>
            </w:r>
            <w:r>
              <w:rPr>
                <w:color w:val="auto"/>
                <w:sz w:val="24"/>
                <w:szCs w:val="24"/>
              </w:rPr>
              <w:t>审核员考核（含现场审核时间符合性抽查）及审核费计算；</w:t>
            </w:r>
          </w:p>
        </w:tc>
      </w:tr>
      <w:tr w14:paraId="41BE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13" w:type="dxa"/>
          </w:tcPr>
          <w:p w14:paraId="28FCC5DD">
            <w:pPr>
              <w:pStyle w:val="22"/>
              <w:jc w:val="center"/>
              <w:rPr>
                <w:rFonts w:ascii="Times New Roman"/>
                <w:color w:val="auto"/>
                <w:sz w:val="24"/>
                <w:szCs w:val="24"/>
              </w:rPr>
            </w:pPr>
          </w:p>
        </w:tc>
        <w:tc>
          <w:tcPr>
            <w:tcW w:w="6398" w:type="dxa"/>
          </w:tcPr>
          <w:p w14:paraId="05CB3FAA">
            <w:pPr>
              <w:pStyle w:val="22"/>
              <w:spacing w:before="22" w:line="252" w:lineRule="exact"/>
              <w:rPr>
                <w:color w:val="auto"/>
                <w:sz w:val="24"/>
                <w:szCs w:val="24"/>
              </w:rPr>
            </w:pPr>
            <w:r>
              <w:rPr>
                <w:rFonts w:hint="eastAsia"/>
                <w:color w:val="auto"/>
                <w:sz w:val="24"/>
                <w:szCs w:val="24"/>
              </w:rPr>
              <w:t>8、</w:t>
            </w:r>
            <w:r>
              <w:rPr>
                <w:color w:val="auto"/>
                <w:sz w:val="24"/>
                <w:szCs w:val="24"/>
              </w:rPr>
              <w:t>负责对审核员提交的审核材料实施认证决定；</w:t>
            </w:r>
          </w:p>
        </w:tc>
      </w:tr>
      <w:tr w14:paraId="0145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13" w:type="dxa"/>
          </w:tcPr>
          <w:p w14:paraId="6E6D9D4A">
            <w:pPr>
              <w:pStyle w:val="22"/>
              <w:jc w:val="center"/>
              <w:rPr>
                <w:rFonts w:ascii="Times New Roman"/>
                <w:color w:val="auto"/>
                <w:sz w:val="24"/>
                <w:szCs w:val="24"/>
              </w:rPr>
            </w:pPr>
          </w:p>
        </w:tc>
        <w:tc>
          <w:tcPr>
            <w:tcW w:w="6398" w:type="dxa"/>
          </w:tcPr>
          <w:p w14:paraId="54E5DF77">
            <w:pPr>
              <w:pStyle w:val="22"/>
              <w:spacing w:before="22"/>
              <w:rPr>
                <w:color w:val="auto"/>
                <w:sz w:val="24"/>
                <w:szCs w:val="24"/>
              </w:rPr>
            </w:pPr>
          </w:p>
        </w:tc>
      </w:tr>
      <w:tr w14:paraId="3D8D2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613" w:type="dxa"/>
          </w:tcPr>
          <w:p w14:paraId="007C4845">
            <w:pPr>
              <w:pStyle w:val="22"/>
              <w:jc w:val="center"/>
              <w:rPr>
                <w:rFonts w:ascii="Times New Roman"/>
                <w:color w:val="auto"/>
                <w:sz w:val="24"/>
                <w:szCs w:val="24"/>
              </w:rPr>
            </w:pPr>
            <w:r>
              <w:rPr>
                <w:rFonts w:hint="eastAsia" w:ascii="Times New Roman"/>
                <w:color w:val="auto"/>
                <w:sz w:val="24"/>
                <w:szCs w:val="24"/>
              </w:rPr>
              <w:t>技术部</w:t>
            </w:r>
          </w:p>
        </w:tc>
        <w:tc>
          <w:tcPr>
            <w:tcW w:w="6398" w:type="dxa"/>
          </w:tcPr>
          <w:p w14:paraId="48270071">
            <w:pPr>
              <w:pStyle w:val="22"/>
              <w:spacing w:before="22" w:line="252" w:lineRule="exact"/>
              <w:rPr>
                <w:color w:val="auto"/>
                <w:sz w:val="24"/>
                <w:szCs w:val="24"/>
              </w:rPr>
            </w:pPr>
            <w:r>
              <w:rPr>
                <w:rFonts w:hint="eastAsia"/>
                <w:color w:val="auto"/>
                <w:sz w:val="24"/>
                <w:szCs w:val="24"/>
              </w:rPr>
              <w:t>1、</w:t>
            </w:r>
            <w:r>
              <w:rPr>
                <w:color w:val="auto"/>
                <w:sz w:val="24"/>
                <w:szCs w:val="24"/>
              </w:rPr>
              <w:t>负责技术疑难问题的解答，技术争议的处理；</w:t>
            </w:r>
          </w:p>
        </w:tc>
      </w:tr>
      <w:tr w14:paraId="6DA5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4A15BE7F">
            <w:pPr>
              <w:pStyle w:val="22"/>
              <w:jc w:val="center"/>
              <w:rPr>
                <w:rFonts w:ascii="Times New Roman"/>
                <w:color w:val="auto"/>
                <w:sz w:val="24"/>
                <w:szCs w:val="24"/>
              </w:rPr>
            </w:pPr>
          </w:p>
        </w:tc>
        <w:tc>
          <w:tcPr>
            <w:tcW w:w="6398" w:type="dxa"/>
          </w:tcPr>
          <w:p w14:paraId="1FA65B09">
            <w:pPr>
              <w:pStyle w:val="22"/>
              <w:spacing w:before="22"/>
              <w:rPr>
                <w:color w:val="auto"/>
                <w:sz w:val="24"/>
                <w:szCs w:val="24"/>
              </w:rPr>
            </w:pPr>
          </w:p>
        </w:tc>
      </w:tr>
      <w:tr w14:paraId="6321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731DB0FA">
            <w:pPr>
              <w:pStyle w:val="22"/>
              <w:spacing w:before="23"/>
              <w:ind w:left="107"/>
              <w:jc w:val="center"/>
              <w:rPr>
                <w:color w:val="auto"/>
                <w:sz w:val="24"/>
                <w:szCs w:val="24"/>
              </w:rPr>
            </w:pPr>
            <w:r>
              <w:rPr>
                <w:color w:val="auto"/>
                <w:sz w:val="24"/>
                <w:szCs w:val="24"/>
              </w:rPr>
              <w:t>综合部</w:t>
            </w:r>
          </w:p>
        </w:tc>
        <w:tc>
          <w:tcPr>
            <w:tcW w:w="6398" w:type="dxa"/>
          </w:tcPr>
          <w:p w14:paraId="17D173A9">
            <w:pPr>
              <w:pStyle w:val="22"/>
              <w:spacing w:before="22" w:line="250" w:lineRule="exact"/>
              <w:rPr>
                <w:color w:val="auto"/>
                <w:sz w:val="24"/>
                <w:szCs w:val="24"/>
              </w:rPr>
            </w:pPr>
            <w:r>
              <w:rPr>
                <w:color w:val="auto"/>
                <w:sz w:val="24"/>
                <w:szCs w:val="24"/>
              </w:rPr>
              <w:t>1、审核员转会办理；</w:t>
            </w:r>
          </w:p>
        </w:tc>
      </w:tr>
      <w:tr w14:paraId="33B6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46B34D59">
            <w:pPr>
              <w:pStyle w:val="22"/>
              <w:jc w:val="center"/>
              <w:rPr>
                <w:rFonts w:ascii="Times New Roman"/>
                <w:color w:val="auto"/>
                <w:sz w:val="24"/>
                <w:szCs w:val="24"/>
              </w:rPr>
            </w:pPr>
          </w:p>
        </w:tc>
        <w:tc>
          <w:tcPr>
            <w:tcW w:w="6398" w:type="dxa"/>
          </w:tcPr>
          <w:p w14:paraId="624D0854">
            <w:pPr>
              <w:pStyle w:val="22"/>
              <w:spacing w:before="22" w:line="250" w:lineRule="exact"/>
              <w:rPr>
                <w:color w:val="auto"/>
                <w:sz w:val="24"/>
                <w:szCs w:val="24"/>
              </w:rPr>
            </w:pPr>
            <w:r>
              <w:rPr>
                <w:color w:val="auto"/>
                <w:sz w:val="24"/>
                <w:szCs w:val="24"/>
              </w:rPr>
              <w:t>2、审核员岗前培训及考核的组织；</w:t>
            </w:r>
          </w:p>
        </w:tc>
      </w:tr>
      <w:tr w14:paraId="4293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596E2A09">
            <w:pPr>
              <w:pStyle w:val="22"/>
              <w:jc w:val="center"/>
              <w:rPr>
                <w:rFonts w:ascii="Times New Roman"/>
                <w:color w:val="auto"/>
                <w:sz w:val="24"/>
                <w:szCs w:val="24"/>
              </w:rPr>
            </w:pPr>
          </w:p>
        </w:tc>
        <w:tc>
          <w:tcPr>
            <w:tcW w:w="6398" w:type="dxa"/>
          </w:tcPr>
          <w:p w14:paraId="7332DE78">
            <w:pPr>
              <w:pStyle w:val="22"/>
              <w:spacing w:before="22"/>
              <w:rPr>
                <w:color w:val="auto"/>
                <w:sz w:val="24"/>
                <w:szCs w:val="24"/>
              </w:rPr>
            </w:pPr>
            <w:r>
              <w:rPr>
                <w:rFonts w:hint="eastAsia"/>
                <w:color w:val="auto"/>
                <w:sz w:val="24"/>
                <w:szCs w:val="24"/>
              </w:rPr>
              <w:t>3、</w:t>
            </w:r>
            <w:r>
              <w:rPr>
                <w:color w:val="auto"/>
                <w:sz w:val="24"/>
                <w:szCs w:val="24"/>
              </w:rPr>
              <w:t>审核员培养计划的拟定</w:t>
            </w:r>
            <w:r>
              <w:rPr>
                <w:rFonts w:hint="eastAsia"/>
                <w:color w:val="auto"/>
                <w:sz w:val="24"/>
                <w:szCs w:val="24"/>
              </w:rPr>
              <w:t>；</w:t>
            </w:r>
          </w:p>
        </w:tc>
      </w:tr>
      <w:tr w14:paraId="119D0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010620EF">
            <w:pPr>
              <w:pStyle w:val="22"/>
              <w:jc w:val="center"/>
              <w:rPr>
                <w:rFonts w:ascii="Times New Roman"/>
                <w:color w:val="auto"/>
                <w:sz w:val="24"/>
                <w:szCs w:val="24"/>
              </w:rPr>
            </w:pPr>
          </w:p>
        </w:tc>
        <w:tc>
          <w:tcPr>
            <w:tcW w:w="6398" w:type="dxa"/>
          </w:tcPr>
          <w:p w14:paraId="368F4AA7">
            <w:pPr>
              <w:pStyle w:val="22"/>
              <w:spacing w:before="22" w:line="252" w:lineRule="exact"/>
              <w:rPr>
                <w:color w:val="auto"/>
                <w:sz w:val="24"/>
                <w:szCs w:val="24"/>
              </w:rPr>
            </w:pPr>
            <w:r>
              <w:rPr>
                <w:color w:val="auto"/>
                <w:sz w:val="24"/>
                <w:szCs w:val="24"/>
              </w:rPr>
              <w:t>4、 审核员注册、晋级及再注册资料的申报；</w:t>
            </w:r>
          </w:p>
        </w:tc>
      </w:tr>
      <w:tr w14:paraId="2CBC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1B2A7AD5">
            <w:pPr>
              <w:pStyle w:val="22"/>
              <w:jc w:val="center"/>
              <w:rPr>
                <w:rFonts w:ascii="Times New Roman"/>
                <w:color w:val="auto"/>
                <w:sz w:val="24"/>
                <w:szCs w:val="24"/>
              </w:rPr>
            </w:pPr>
          </w:p>
        </w:tc>
        <w:tc>
          <w:tcPr>
            <w:tcW w:w="6398" w:type="dxa"/>
          </w:tcPr>
          <w:p w14:paraId="0C415507">
            <w:pPr>
              <w:pStyle w:val="22"/>
              <w:spacing w:before="22" w:line="252" w:lineRule="exact"/>
              <w:rPr>
                <w:color w:val="auto"/>
                <w:sz w:val="24"/>
                <w:szCs w:val="24"/>
              </w:rPr>
            </w:pPr>
            <w:r>
              <w:rPr>
                <w:color w:val="auto"/>
                <w:sz w:val="24"/>
                <w:szCs w:val="24"/>
              </w:rPr>
              <w:t>5、 继续教育和年度确认的组织。</w:t>
            </w:r>
          </w:p>
        </w:tc>
      </w:tr>
      <w:tr w14:paraId="3F74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55474AFC">
            <w:pPr>
              <w:pStyle w:val="22"/>
              <w:rPr>
                <w:rFonts w:ascii="Times New Roman"/>
                <w:color w:val="auto"/>
                <w:sz w:val="24"/>
                <w:szCs w:val="24"/>
              </w:rPr>
            </w:pPr>
          </w:p>
        </w:tc>
        <w:tc>
          <w:tcPr>
            <w:tcW w:w="6398" w:type="dxa"/>
          </w:tcPr>
          <w:p w14:paraId="34E68A4E">
            <w:pPr>
              <w:pStyle w:val="22"/>
              <w:spacing w:before="22" w:line="250" w:lineRule="exact"/>
              <w:rPr>
                <w:color w:val="auto"/>
                <w:sz w:val="24"/>
                <w:szCs w:val="24"/>
              </w:rPr>
            </w:pPr>
            <w:r>
              <w:rPr>
                <w:color w:val="auto"/>
                <w:sz w:val="24"/>
                <w:szCs w:val="24"/>
              </w:rPr>
              <w:t>6、 审核员入离职办理；</w:t>
            </w:r>
          </w:p>
        </w:tc>
      </w:tr>
      <w:tr w14:paraId="6A0A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4811F4CF">
            <w:pPr>
              <w:pStyle w:val="22"/>
              <w:rPr>
                <w:rFonts w:ascii="Times New Roman"/>
                <w:color w:val="auto"/>
                <w:sz w:val="24"/>
                <w:szCs w:val="24"/>
              </w:rPr>
            </w:pPr>
          </w:p>
        </w:tc>
        <w:tc>
          <w:tcPr>
            <w:tcW w:w="6398" w:type="dxa"/>
          </w:tcPr>
          <w:p w14:paraId="393B4FFD">
            <w:pPr>
              <w:pStyle w:val="22"/>
              <w:spacing w:before="22" w:line="250" w:lineRule="exact"/>
              <w:rPr>
                <w:color w:val="auto"/>
                <w:sz w:val="24"/>
                <w:szCs w:val="24"/>
              </w:rPr>
            </w:pPr>
            <w:r>
              <w:rPr>
                <w:color w:val="auto"/>
                <w:sz w:val="24"/>
                <w:szCs w:val="24"/>
              </w:rPr>
              <w:t>7、 审核员名片的印制；</w:t>
            </w:r>
          </w:p>
        </w:tc>
      </w:tr>
      <w:tr w14:paraId="6B3C9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13" w:type="dxa"/>
          </w:tcPr>
          <w:p w14:paraId="6E241FD0">
            <w:pPr>
              <w:pStyle w:val="22"/>
              <w:rPr>
                <w:rFonts w:ascii="Times New Roman"/>
                <w:color w:val="auto"/>
                <w:sz w:val="24"/>
                <w:szCs w:val="24"/>
              </w:rPr>
            </w:pPr>
          </w:p>
        </w:tc>
        <w:tc>
          <w:tcPr>
            <w:tcW w:w="6398" w:type="dxa"/>
          </w:tcPr>
          <w:p w14:paraId="7DB34DA1">
            <w:pPr>
              <w:pStyle w:val="22"/>
              <w:spacing w:before="22" w:line="233" w:lineRule="exact"/>
              <w:rPr>
                <w:color w:val="auto"/>
                <w:sz w:val="24"/>
                <w:szCs w:val="24"/>
              </w:rPr>
            </w:pPr>
            <w:r>
              <w:rPr>
                <w:color w:val="auto"/>
                <w:sz w:val="24"/>
                <w:szCs w:val="24"/>
              </w:rPr>
              <w:t>8、 审核员合同的签订及续签。</w:t>
            </w:r>
          </w:p>
        </w:tc>
      </w:tr>
    </w:tbl>
    <w:p w14:paraId="138C86B0">
      <w:pPr>
        <w:pStyle w:val="2"/>
        <w:keepNext w:val="0"/>
        <w:keepLines w:val="0"/>
        <w:pageBreakBefore w:val="0"/>
        <w:widowControl/>
        <w:kinsoku w:val="0"/>
        <w:wordWrap/>
        <w:overflowPunct/>
        <w:topLinePunct w:val="0"/>
        <w:autoSpaceDE w:val="0"/>
        <w:autoSpaceDN w:val="0"/>
        <w:bidi w:val="0"/>
        <w:adjustRightInd w:val="0"/>
        <w:snapToGrid w:val="0"/>
        <w:spacing w:before="120" w:after="120" w:line="360" w:lineRule="auto"/>
        <w:jc w:val="both"/>
        <w:textAlignment w:val="baseline"/>
        <w:rPr>
          <w:rFonts w:hint="default" w:ascii="宋体" w:hAnsi="宋体" w:eastAsia="宋体"/>
          <w:color w:val="auto"/>
          <w:sz w:val="24"/>
          <w:lang w:val="en-US" w:eastAsia="zh-CN"/>
        </w:rPr>
      </w:pPr>
    </w:p>
    <w:p w14:paraId="67B6E7D1">
      <w:pPr>
        <w:pStyle w:val="2"/>
        <w:tabs>
          <w:tab w:val="left" w:pos="4370"/>
        </w:tabs>
        <w:spacing w:before="72"/>
        <w:ind w:left="2866"/>
        <w:jc w:val="both"/>
        <w:rPr>
          <w:rFonts w:ascii="华文中宋" w:hAnsi="华文中宋" w:eastAsia="华文中宋"/>
          <w:color w:val="auto"/>
          <w:sz w:val="36"/>
          <w:szCs w:val="36"/>
        </w:rPr>
      </w:pPr>
      <w:r>
        <w:rPr>
          <w:rFonts w:ascii="华文中宋" w:hAnsi="华文中宋" w:eastAsia="华文中宋"/>
          <w:color w:val="auto"/>
          <w:sz w:val="36"/>
          <w:szCs w:val="36"/>
        </w:rPr>
        <w:t>第二章</w:t>
      </w:r>
      <w:r>
        <w:rPr>
          <w:rFonts w:ascii="华文中宋" w:hAnsi="华文中宋" w:eastAsia="华文中宋"/>
          <w:color w:val="auto"/>
          <w:sz w:val="36"/>
          <w:szCs w:val="36"/>
        </w:rPr>
        <w:tab/>
      </w:r>
      <w:r>
        <w:rPr>
          <w:rFonts w:ascii="华文中宋" w:hAnsi="华文中宋" w:eastAsia="华文中宋"/>
          <w:color w:val="auto"/>
          <w:sz w:val="36"/>
          <w:szCs w:val="36"/>
        </w:rPr>
        <w:t>审核纪律和行</w:t>
      </w:r>
      <w:r>
        <w:rPr>
          <w:rFonts w:ascii="华文中宋" w:hAnsi="华文中宋" w:eastAsia="华文中宋"/>
          <w:color w:val="auto"/>
          <w:spacing w:val="-3"/>
          <w:sz w:val="36"/>
          <w:szCs w:val="36"/>
        </w:rPr>
        <w:t>为</w:t>
      </w:r>
      <w:r>
        <w:rPr>
          <w:rFonts w:ascii="华文中宋" w:hAnsi="华文中宋" w:eastAsia="华文中宋"/>
          <w:color w:val="auto"/>
          <w:sz w:val="36"/>
          <w:szCs w:val="36"/>
        </w:rPr>
        <w:t>规范</w:t>
      </w:r>
    </w:p>
    <w:p w14:paraId="0328D0FC">
      <w:pPr>
        <w:pStyle w:val="5"/>
        <w:rPr>
          <w:rFonts w:ascii="华文中宋" w:hAnsi="华文中宋" w:eastAsia="华文中宋"/>
          <w:b/>
          <w:color w:val="auto"/>
          <w:sz w:val="36"/>
          <w:szCs w:val="36"/>
        </w:rPr>
      </w:pPr>
    </w:p>
    <w:p w14:paraId="18756277">
      <w:pPr>
        <w:pStyle w:val="5"/>
        <w:spacing w:before="8"/>
        <w:rPr>
          <w:b/>
          <w:color w:val="auto"/>
          <w:sz w:val="17"/>
        </w:rPr>
      </w:pPr>
    </w:p>
    <w:p w14:paraId="3AA5249D">
      <w:pPr>
        <w:ind w:left="113" w:firstLine="480" w:firstLineChars="200"/>
        <w:rPr>
          <w:rFonts w:ascii="黑体" w:hAnsi="黑体" w:eastAsia="黑体"/>
          <w:color w:val="auto"/>
          <w:sz w:val="24"/>
          <w:szCs w:val="24"/>
        </w:rPr>
      </w:pPr>
      <w:r>
        <w:rPr>
          <w:rFonts w:ascii="黑体" w:hAnsi="黑体" w:eastAsia="黑体"/>
          <w:color w:val="auto"/>
          <w:sz w:val="24"/>
          <w:szCs w:val="24"/>
        </w:rPr>
        <w:t>第 01 条 熟知审核文件</w:t>
      </w:r>
    </w:p>
    <w:p w14:paraId="5D3EA58C">
      <w:pPr>
        <w:pStyle w:val="5"/>
        <w:spacing w:before="9"/>
        <w:rPr>
          <w:b/>
          <w:color w:val="auto"/>
        </w:rPr>
      </w:pPr>
    </w:p>
    <w:p w14:paraId="6EE436D6">
      <w:pPr>
        <w:pStyle w:val="5"/>
        <w:spacing w:line="360" w:lineRule="auto"/>
        <w:ind w:right="306" w:firstLine="456" w:firstLineChars="200"/>
        <w:jc w:val="both"/>
        <w:rPr>
          <w:rFonts w:hint="eastAsia"/>
          <w:color w:val="auto"/>
          <w:spacing w:val="-6"/>
          <w:sz w:val="24"/>
          <w:szCs w:val="24"/>
        </w:rPr>
      </w:pPr>
      <w:r>
        <w:rPr>
          <w:color w:val="auto"/>
          <w:spacing w:val="-6"/>
          <w:sz w:val="24"/>
          <w:szCs w:val="24"/>
        </w:rPr>
        <w:t>为使审核工作顺利实施，应知悉审核员适用文件，应该特别重视《审核员工作手册》。</w:t>
      </w:r>
    </w:p>
    <w:p w14:paraId="4BED8734">
      <w:pPr>
        <w:ind w:left="113" w:firstLine="480" w:firstLineChars="200"/>
        <w:rPr>
          <w:rFonts w:ascii="黑体" w:hAnsi="黑体" w:eastAsia="黑体"/>
          <w:color w:val="auto"/>
          <w:sz w:val="24"/>
          <w:szCs w:val="24"/>
        </w:rPr>
      </w:pPr>
      <w:r>
        <w:rPr>
          <w:rFonts w:ascii="黑体" w:hAnsi="黑体" w:eastAsia="黑体"/>
          <w:color w:val="auto"/>
          <w:sz w:val="24"/>
          <w:szCs w:val="24"/>
        </w:rPr>
        <w:t>第 02 条 服从审核安排</w:t>
      </w:r>
    </w:p>
    <w:p w14:paraId="5616E937">
      <w:pPr>
        <w:pStyle w:val="5"/>
        <w:spacing w:before="7"/>
        <w:rPr>
          <w:b/>
          <w:color w:val="auto"/>
          <w:sz w:val="20"/>
        </w:rPr>
      </w:pPr>
    </w:p>
    <w:p w14:paraId="0D1E4627">
      <w:pPr>
        <w:pStyle w:val="5"/>
        <w:spacing w:line="360" w:lineRule="auto"/>
        <w:ind w:right="306" w:firstLine="456" w:firstLineChars="200"/>
        <w:jc w:val="both"/>
        <w:rPr>
          <w:rFonts w:hint="eastAsia"/>
          <w:color w:val="auto"/>
          <w:sz w:val="24"/>
          <w:szCs w:val="24"/>
        </w:rPr>
      </w:pPr>
      <w:r>
        <w:rPr>
          <w:color w:val="auto"/>
          <w:spacing w:val="-6"/>
          <w:sz w:val="24"/>
          <w:szCs w:val="24"/>
        </w:rPr>
        <w:t>在接到审核任务时，不论专职或兼职人员，要服从本机构调度安排，不得依据个人喜好来接受任务（如：不得挑选企业、挑选地域或挑选审核组成员）。</w:t>
      </w:r>
    </w:p>
    <w:p w14:paraId="250D44F0">
      <w:pPr>
        <w:pStyle w:val="2"/>
        <w:ind w:left="113"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03 条 严格遵守审核时间</w:t>
      </w:r>
    </w:p>
    <w:p w14:paraId="230126A2">
      <w:pPr>
        <w:pStyle w:val="5"/>
        <w:spacing w:before="4"/>
        <w:rPr>
          <w:b/>
          <w:color w:val="auto"/>
          <w:sz w:val="19"/>
        </w:rPr>
      </w:pPr>
    </w:p>
    <w:p w14:paraId="14DA40D9">
      <w:pPr>
        <w:pStyle w:val="5"/>
        <w:spacing w:line="360" w:lineRule="auto"/>
        <w:ind w:right="306" w:firstLine="456" w:firstLineChars="200"/>
        <w:jc w:val="both"/>
        <w:rPr>
          <w:rFonts w:hint="eastAsia"/>
          <w:color w:val="auto"/>
          <w:sz w:val="24"/>
          <w:szCs w:val="24"/>
        </w:rPr>
      </w:pPr>
      <w:r>
        <w:rPr>
          <w:color w:val="auto"/>
          <w:spacing w:val="-6"/>
          <w:sz w:val="24"/>
          <w:szCs w:val="24"/>
        </w:rPr>
        <w:t>审核员应在审核期间遵守计划时间，严格按照上报认证认可监管网的审核计划时间安排实施现场审核，参加会议应准时，审核过程不迟到、不早退、不仓促赶时间、不拖延时间。在午饭前、下班前应准时结束审核，不随意让企业在午休时间或晚上加班接受审核。</w:t>
      </w:r>
    </w:p>
    <w:p w14:paraId="564340F0">
      <w:pPr>
        <w:ind w:left="113" w:firstLine="480" w:firstLineChars="200"/>
        <w:rPr>
          <w:rFonts w:ascii="黑体" w:hAnsi="黑体" w:eastAsia="黑体"/>
          <w:color w:val="auto"/>
          <w:sz w:val="24"/>
          <w:szCs w:val="24"/>
        </w:rPr>
      </w:pPr>
      <w:r>
        <w:rPr>
          <w:rFonts w:ascii="黑体" w:hAnsi="黑体" w:eastAsia="黑体"/>
          <w:color w:val="auto"/>
          <w:sz w:val="24"/>
          <w:szCs w:val="24"/>
        </w:rPr>
        <w:t>第 04 条 严禁冒名顶替</w:t>
      </w:r>
    </w:p>
    <w:p w14:paraId="587541F5">
      <w:pPr>
        <w:pStyle w:val="5"/>
        <w:spacing w:before="7"/>
        <w:rPr>
          <w:rFonts w:ascii="黑体" w:hAnsi="黑体" w:eastAsia="黑体"/>
          <w:color w:val="auto"/>
          <w:sz w:val="24"/>
          <w:szCs w:val="24"/>
        </w:rPr>
      </w:pPr>
    </w:p>
    <w:p w14:paraId="4835137A">
      <w:pPr>
        <w:pStyle w:val="5"/>
        <w:spacing w:line="360" w:lineRule="auto"/>
        <w:ind w:right="306" w:firstLine="456" w:firstLineChars="200"/>
        <w:jc w:val="both"/>
        <w:rPr>
          <w:rFonts w:hint="eastAsia"/>
          <w:color w:val="auto"/>
          <w:sz w:val="24"/>
          <w:szCs w:val="24"/>
        </w:rPr>
      </w:pPr>
      <w:r>
        <w:rPr>
          <w:color w:val="auto"/>
          <w:spacing w:val="-6"/>
          <w:sz w:val="24"/>
          <w:szCs w:val="24"/>
        </w:rPr>
        <w:t>不得冒名顶替为其他认证人员完成审核任务，不得接受与自己注册资格不相符的审核任务。如发生冒名顶替，一经查实，按《审核员行为准则》严处。</w:t>
      </w:r>
    </w:p>
    <w:p w14:paraId="258522EC">
      <w:pPr>
        <w:ind w:left="113" w:firstLine="480" w:firstLineChars="200"/>
        <w:rPr>
          <w:rFonts w:ascii="黑体" w:hAnsi="黑体" w:eastAsia="黑体"/>
          <w:color w:val="auto"/>
          <w:sz w:val="24"/>
          <w:szCs w:val="24"/>
        </w:rPr>
      </w:pPr>
      <w:r>
        <w:rPr>
          <w:rFonts w:ascii="黑体" w:hAnsi="黑体" w:eastAsia="黑体"/>
          <w:color w:val="auto"/>
          <w:sz w:val="24"/>
          <w:szCs w:val="24"/>
        </w:rPr>
        <w:t>第 05 条 请假规定</w:t>
      </w:r>
    </w:p>
    <w:p w14:paraId="55B1DFF3">
      <w:pPr>
        <w:pStyle w:val="5"/>
        <w:spacing w:before="11"/>
        <w:rPr>
          <w:b/>
          <w:color w:val="auto"/>
        </w:rPr>
      </w:pPr>
    </w:p>
    <w:p w14:paraId="28110B34">
      <w:pPr>
        <w:pStyle w:val="5"/>
        <w:spacing w:before="1" w:line="360" w:lineRule="auto"/>
        <w:ind w:right="204" w:firstLine="456" w:firstLineChars="200"/>
        <w:rPr>
          <w:color w:val="auto"/>
          <w:sz w:val="24"/>
          <w:szCs w:val="24"/>
        </w:rPr>
      </w:pPr>
      <w:r>
        <w:rPr>
          <w:color w:val="auto"/>
          <w:spacing w:val="-6"/>
          <w:sz w:val="24"/>
          <w:szCs w:val="24"/>
        </w:rPr>
        <w:t>依据国家认监委要求，无论何种原因，审核任务下达后，任何未按上报认监委审核任务数据要求执行现场审核活动且未向国家认监委申报信息变更的，均视为不到现场审核。审核任务下达后，审核组所有成员（包括专、兼职审核员、实习审核员和技术专家）应如期到达审核现场。如因紧急事件不能执行审核工作，应在收到审核任务次日内，提早通知技术部，否则技术部概不受理请假申请。审核不到现场，机构将严格按照《审核员行为准则》进行处理。专职审核员事假需谨慎， 非紧急事件不可请事假。如有特殊情况需提早请假的，必须提早一周通知，否则不予处理。</w:t>
      </w:r>
    </w:p>
    <w:p w14:paraId="2C5408C8">
      <w:pPr>
        <w:spacing w:line="379" w:lineRule="auto"/>
        <w:rPr>
          <w:color w:val="auto"/>
        </w:rPr>
      </w:pPr>
    </w:p>
    <w:p w14:paraId="09B4D55B">
      <w:pPr>
        <w:pStyle w:val="2"/>
        <w:spacing w:line="360" w:lineRule="auto"/>
        <w:ind w:left="113"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07 条 合理报销交通费用</w:t>
      </w:r>
    </w:p>
    <w:p w14:paraId="5D3A4187">
      <w:pPr>
        <w:pStyle w:val="5"/>
        <w:spacing w:before="1" w:line="360" w:lineRule="auto"/>
        <w:ind w:right="204" w:firstLine="456" w:firstLineChars="200"/>
        <w:rPr>
          <w:color w:val="auto"/>
          <w:spacing w:val="-6"/>
          <w:sz w:val="24"/>
          <w:szCs w:val="24"/>
        </w:rPr>
      </w:pPr>
    </w:p>
    <w:p w14:paraId="0A5FF621">
      <w:pPr>
        <w:pStyle w:val="5"/>
        <w:spacing w:before="1" w:line="360" w:lineRule="auto"/>
        <w:ind w:right="204" w:firstLine="456" w:firstLineChars="200"/>
        <w:rPr>
          <w:color w:val="auto"/>
          <w:spacing w:val="-6"/>
          <w:sz w:val="24"/>
          <w:szCs w:val="24"/>
        </w:rPr>
      </w:pPr>
      <w:r>
        <w:rPr>
          <w:color w:val="auto"/>
          <w:spacing w:val="-6"/>
          <w:sz w:val="24"/>
          <w:szCs w:val="24"/>
        </w:rPr>
        <w:t>审核员应选择合理的交通方式，按照经济快捷、尽量减少企业负担的原则：</w:t>
      </w:r>
    </w:p>
    <w:p w14:paraId="199FBF25">
      <w:pPr>
        <w:pStyle w:val="5"/>
        <w:spacing w:line="360" w:lineRule="auto"/>
        <w:ind w:left="112" w:right="306" w:firstLine="480" w:firstLineChars="200"/>
        <w:rPr>
          <w:color w:val="auto"/>
          <w:sz w:val="24"/>
          <w:szCs w:val="24"/>
        </w:rPr>
      </w:pPr>
      <w:r>
        <w:rPr>
          <w:color w:val="auto"/>
          <w:sz w:val="24"/>
          <w:szCs w:val="24"/>
        </w:rPr>
        <w:t>1</w:t>
      </w:r>
      <w:r>
        <w:rPr>
          <w:color w:val="auto"/>
          <w:spacing w:val="-8"/>
          <w:sz w:val="24"/>
          <w:szCs w:val="24"/>
        </w:rPr>
        <w:t>、 行程出发地址以系统中登记的信息为准，不得随意更改，不得报销与行程出发地无关的交通费用，</w:t>
      </w:r>
      <w:r>
        <w:rPr>
          <w:color w:val="auto"/>
          <w:spacing w:val="-8"/>
        </w:rPr>
        <w:t xml:space="preserve"> </w:t>
      </w:r>
      <w:r>
        <w:rPr>
          <w:color w:val="auto"/>
          <w:spacing w:val="-5"/>
          <w:sz w:val="24"/>
          <w:szCs w:val="24"/>
        </w:rPr>
        <w:t>连审多家企业时，应合理分摊费用，不应集中在一家企业报销交通费用。禁止重复报销交通费用牟利。</w:t>
      </w:r>
    </w:p>
    <w:p w14:paraId="7C755524">
      <w:pPr>
        <w:pStyle w:val="5"/>
        <w:spacing w:line="360" w:lineRule="auto"/>
        <w:ind w:left="112" w:right="312" w:firstLine="480" w:firstLineChars="200"/>
        <w:rPr>
          <w:color w:val="auto"/>
          <w:sz w:val="24"/>
          <w:szCs w:val="24"/>
        </w:rPr>
      </w:pPr>
      <w:r>
        <w:rPr>
          <w:color w:val="auto"/>
          <w:sz w:val="24"/>
          <w:szCs w:val="24"/>
        </w:rPr>
        <w:t>2、 审核组所有成员单程超过 80 元以上的出租车费在乘坐前需得公企业同意。违反以上规定而私自乘坐产生超额交通费则由审核员自行承担该次审核的交通费用。</w:t>
      </w:r>
    </w:p>
    <w:p w14:paraId="7504A170">
      <w:pPr>
        <w:pStyle w:val="5"/>
        <w:spacing w:before="1" w:line="360" w:lineRule="auto"/>
        <w:ind w:left="112" w:right="315" w:firstLine="480" w:firstLineChars="200"/>
        <w:rPr>
          <w:rFonts w:hint="eastAsia"/>
          <w:color w:val="auto"/>
          <w:sz w:val="15"/>
        </w:rPr>
      </w:pPr>
      <w:r>
        <w:rPr>
          <w:color w:val="auto"/>
          <w:sz w:val="24"/>
          <w:szCs w:val="24"/>
        </w:rPr>
        <w:t>3、 如路途遥远确需乘坐飞机，需尽早与企业沟通订购机票事宜，尽量由企业直接订购机票，防止任务变更/审核异常造成企业不承担交通费用情况发生。</w:t>
      </w:r>
    </w:p>
    <w:p w14:paraId="657C74E3">
      <w:pPr>
        <w:pStyle w:val="5"/>
        <w:spacing w:before="68" w:line="360" w:lineRule="auto"/>
        <w:ind w:left="112" w:right="409" w:firstLine="480" w:firstLineChars="200"/>
        <w:rPr>
          <w:color w:val="auto"/>
          <w:sz w:val="24"/>
          <w:szCs w:val="24"/>
        </w:rPr>
      </w:pPr>
      <w:r>
        <w:rPr>
          <w:color w:val="auto"/>
          <w:sz w:val="24"/>
          <w:szCs w:val="24"/>
        </w:rPr>
        <w:t>4</w:t>
      </w:r>
      <w:r>
        <w:rPr>
          <w:color w:val="auto"/>
          <w:spacing w:val="-5"/>
          <w:sz w:val="24"/>
          <w:szCs w:val="24"/>
        </w:rPr>
        <w:t>、 组长统一负责报销交通费用，并向企业提供当天有效的交通票据。如审核员提供票据不真实，企</w:t>
      </w:r>
      <w:r>
        <w:rPr>
          <w:color w:val="auto"/>
          <w:spacing w:val="-4"/>
          <w:sz w:val="24"/>
          <w:szCs w:val="24"/>
        </w:rPr>
        <w:t>业可拒报该审核员不合理之费用。审核组成员不得报销与审核无关交通费用。</w:t>
      </w:r>
    </w:p>
    <w:p w14:paraId="6477EB4C">
      <w:pPr>
        <w:pStyle w:val="5"/>
        <w:spacing w:before="4" w:line="360" w:lineRule="auto"/>
        <w:ind w:left="112" w:right="418" w:firstLine="480" w:firstLineChars="200"/>
        <w:rPr>
          <w:color w:val="auto"/>
          <w:sz w:val="24"/>
          <w:szCs w:val="24"/>
        </w:rPr>
      </w:pPr>
      <w:r>
        <w:rPr>
          <w:color w:val="auto"/>
          <w:sz w:val="24"/>
          <w:szCs w:val="24"/>
        </w:rPr>
        <w:t>5、审核员应乘坐公共交通工具</w:t>
      </w:r>
      <w:r>
        <w:rPr>
          <w:rFonts w:hint="eastAsia"/>
          <w:color w:val="auto"/>
          <w:sz w:val="24"/>
          <w:szCs w:val="24"/>
        </w:rPr>
        <w:t>，特殊情况下可选择自驾</w:t>
      </w:r>
      <w:r>
        <w:rPr>
          <w:color w:val="auto"/>
          <w:sz w:val="24"/>
          <w:szCs w:val="24"/>
        </w:rPr>
        <w:t>。审核人员因自驾往返企业所在地产生的安全风险以及其他连带后果由审核员本人承担。</w:t>
      </w:r>
    </w:p>
    <w:p w14:paraId="6738EB2E">
      <w:pPr>
        <w:spacing w:before="176"/>
        <w:ind w:left="113" w:firstLine="480" w:firstLineChars="200"/>
        <w:rPr>
          <w:rFonts w:ascii="黑体" w:hAnsi="黑体" w:eastAsia="黑体"/>
          <w:color w:val="auto"/>
          <w:sz w:val="24"/>
          <w:szCs w:val="24"/>
        </w:rPr>
      </w:pPr>
      <w:r>
        <w:rPr>
          <w:rFonts w:ascii="黑体" w:hAnsi="黑体" w:eastAsia="黑体"/>
          <w:color w:val="auto"/>
          <w:sz w:val="24"/>
          <w:szCs w:val="24"/>
        </w:rPr>
        <w:t>第 08 条 饮食和住宿从简</w:t>
      </w:r>
    </w:p>
    <w:p w14:paraId="3F00BD01">
      <w:pPr>
        <w:pStyle w:val="5"/>
        <w:spacing w:before="197" w:line="360" w:lineRule="auto"/>
        <w:ind w:firstLine="480" w:firstLineChars="200"/>
        <w:rPr>
          <w:rFonts w:hint="eastAsia"/>
          <w:color w:val="auto"/>
          <w:sz w:val="24"/>
          <w:szCs w:val="24"/>
        </w:rPr>
      </w:pPr>
      <w:r>
        <w:rPr>
          <w:color w:val="auto"/>
          <w:sz w:val="24"/>
          <w:szCs w:val="24"/>
        </w:rPr>
        <w:t>尽可能选择经济、卫生的餐饮和住宿。</w:t>
      </w:r>
    </w:p>
    <w:p w14:paraId="1E851485">
      <w:pPr>
        <w:pStyle w:val="5"/>
        <w:spacing w:line="360" w:lineRule="auto"/>
        <w:ind w:left="112" w:right="309" w:firstLine="468" w:firstLineChars="200"/>
        <w:jc w:val="both"/>
        <w:rPr>
          <w:color w:val="auto"/>
          <w:sz w:val="24"/>
          <w:szCs w:val="24"/>
        </w:rPr>
      </w:pPr>
      <w:r>
        <w:rPr>
          <w:color w:val="auto"/>
          <w:spacing w:val="-3"/>
          <w:sz w:val="24"/>
          <w:szCs w:val="24"/>
        </w:rPr>
        <w:t>1</w:t>
      </w:r>
      <w:r>
        <w:rPr>
          <w:color w:val="auto"/>
          <w:spacing w:val="-14"/>
          <w:sz w:val="24"/>
          <w:szCs w:val="24"/>
        </w:rPr>
        <w:t xml:space="preserve">、 合理控制用餐时间，饮食从简，提倡审核员在企业吃工作餐，审核期间不得饮酒。除民族习惯外， </w:t>
      </w:r>
      <w:r>
        <w:rPr>
          <w:color w:val="auto"/>
          <w:spacing w:val="-19"/>
          <w:sz w:val="24"/>
          <w:szCs w:val="24"/>
        </w:rPr>
        <w:t xml:space="preserve">不得对饮食提出特殊要求，不挑选就餐地点、不评价饭菜质量。参加企业领导出席的招待宴席，应有礼貌， </w:t>
      </w:r>
      <w:r>
        <w:rPr>
          <w:color w:val="auto"/>
          <w:spacing w:val="-8"/>
          <w:sz w:val="24"/>
          <w:szCs w:val="24"/>
        </w:rPr>
        <w:t>保持礼节，不宜提前退席。</w:t>
      </w:r>
    </w:p>
    <w:p w14:paraId="628C5F50">
      <w:pPr>
        <w:pStyle w:val="5"/>
        <w:spacing w:before="43" w:line="360" w:lineRule="auto"/>
        <w:ind w:left="112" w:right="311" w:firstLine="480" w:firstLineChars="200"/>
        <w:jc w:val="both"/>
        <w:rPr>
          <w:color w:val="auto"/>
          <w:sz w:val="24"/>
          <w:szCs w:val="24"/>
        </w:rPr>
      </w:pPr>
      <w:r>
        <w:rPr>
          <w:color w:val="auto"/>
          <w:sz w:val="24"/>
          <w:szCs w:val="24"/>
        </w:rPr>
        <w:t>2、 住宿宜尊重企业的安排，住宿满足基本条件（安全、卫生、洗浴、方便书写等）</w:t>
      </w:r>
      <w:r>
        <w:rPr>
          <w:color w:val="auto"/>
          <w:spacing w:val="-2"/>
          <w:sz w:val="24"/>
          <w:szCs w:val="24"/>
        </w:rPr>
        <w:t>即可，企业安排</w:t>
      </w:r>
      <w:r>
        <w:rPr>
          <w:color w:val="auto"/>
          <w:spacing w:val="-4"/>
          <w:sz w:val="24"/>
          <w:szCs w:val="24"/>
        </w:rPr>
        <w:t>妥当后，审核员不得提出其他额外要求</w:t>
      </w:r>
      <w:r>
        <w:rPr>
          <w:color w:val="auto"/>
          <w:sz w:val="24"/>
          <w:szCs w:val="24"/>
        </w:rPr>
        <w:t>（</w:t>
      </w:r>
      <w:r>
        <w:rPr>
          <w:color w:val="auto"/>
          <w:spacing w:val="-5"/>
          <w:sz w:val="24"/>
          <w:szCs w:val="24"/>
        </w:rPr>
        <w:t>如多人审核时，如企业已安排两人入住一个标准间时，审核员不宜再提出每人一间的要求</w:t>
      </w:r>
      <w:r>
        <w:rPr>
          <w:color w:val="auto"/>
          <w:spacing w:val="-106"/>
          <w:sz w:val="24"/>
          <w:szCs w:val="24"/>
        </w:rPr>
        <w:t>）</w:t>
      </w:r>
      <w:r>
        <w:rPr>
          <w:color w:val="auto"/>
          <w:spacing w:val="-1"/>
          <w:sz w:val="24"/>
          <w:szCs w:val="24"/>
        </w:rPr>
        <w:t>。入住企业安排的客房时，不应选用客房中属于付费的食品饮品、洗衣服务、</w:t>
      </w:r>
      <w:r>
        <w:rPr>
          <w:color w:val="auto"/>
          <w:spacing w:val="-3"/>
          <w:sz w:val="24"/>
          <w:szCs w:val="24"/>
        </w:rPr>
        <w:t>电话等，如选用上述物品或服务，应个人付费。</w:t>
      </w:r>
    </w:p>
    <w:p w14:paraId="700EE4D4">
      <w:pPr>
        <w:pStyle w:val="5"/>
        <w:spacing w:before="4"/>
        <w:ind w:firstLine="360" w:firstLineChars="200"/>
        <w:rPr>
          <w:color w:val="auto"/>
          <w:sz w:val="18"/>
        </w:rPr>
      </w:pPr>
    </w:p>
    <w:p w14:paraId="5268F55F">
      <w:pPr>
        <w:ind w:left="112" w:firstLine="480" w:firstLineChars="200"/>
        <w:rPr>
          <w:rFonts w:ascii="黑体" w:hAnsi="黑体" w:eastAsia="黑体"/>
          <w:color w:val="auto"/>
          <w:sz w:val="24"/>
          <w:szCs w:val="24"/>
        </w:rPr>
      </w:pPr>
      <w:r>
        <w:rPr>
          <w:rFonts w:ascii="黑体" w:hAnsi="黑体" w:eastAsia="黑体"/>
          <w:color w:val="auto"/>
          <w:sz w:val="24"/>
          <w:szCs w:val="24"/>
        </w:rPr>
        <w:t>第 09 条 言谈举止恰当</w:t>
      </w:r>
    </w:p>
    <w:p w14:paraId="1E2D2AFE">
      <w:pPr>
        <w:pStyle w:val="5"/>
        <w:spacing w:before="196" w:line="360" w:lineRule="auto"/>
        <w:ind w:firstLine="480" w:firstLineChars="200"/>
        <w:rPr>
          <w:color w:val="auto"/>
          <w:sz w:val="24"/>
          <w:szCs w:val="24"/>
        </w:rPr>
      </w:pPr>
      <w:r>
        <w:rPr>
          <w:color w:val="auto"/>
          <w:sz w:val="24"/>
          <w:szCs w:val="24"/>
        </w:rPr>
        <w:t>审核组成员在审核期间应注意维护自身职业形象和机构形象，言谈举止应符合审核员行为准则要求。</w:t>
      </w:r>
    </w:p>
    <w:p w14:paraId="373D6CB2">
      <w:pPr>
        <w:pStyle w:val="5"/>
        <w:spacing w:line="360" w:lineRule="auto"/>
        <w:ind w:left="113" w:right="306" w:firstLine="468" w:firstLineChars="200"/>
        <w:jc w:val="both"/>
        <w:rPr>
          <w:color w:val="auto"/>
          <w:spacing w:val="-3"/>
          <w:sz w:val="24"/>
          <w:szCs w:val="24"/>
        </w:rPr>
      </w:pPr>
      <w:r>
        <w:rPr>
          <w:color w:val="auto"/>
          <w:spacing w:val="-3"/>
          <w:sz w:val="24"/>
          <w:szCs w:val="24"/>
        </w:rPr>
        <w:t>1、 注意着装得体，禁忌奇装异服；尊重企业文化，言谈谨慎，注意审核过程中的言语分寸和态度，不得以命令的方式对待企业人员；审核过程中不宜接听过多电话或过长时间通话</w:t>
      </w:r>
      <w:r>
        <w:rPr>
          <w:rFonts w:hint="eastAsia"/>
          <w:color w:val="auto"/>
          <w:spacing w:val="-3"/>
          <w:sz w:val="24"/>
          <w:szCs w:val="24"/>
        </w:rPr>
        <w:t>。</w:t>
      </w:r>
    </w:p>
    <w:p w14:paraId="3A3CF9B9">
      <w:pPr>
        <w:pStyle w:val="5"/>
        <w:spacing w:line="360" w:lineRule="auto"/>
        <w:ind w:left="113" w:right="306" w:firstLine="468" w:firstLineChars="200"/>
        <w:jc w:val="both"/>
        <w:rPr>
          <w:color w:val="auto"/>
          <w:spacing w:val="-3"/>
          <w:sz w:val="24"/>
          <w:szCs w:val="24"/>
        </w:rPr>
      </w:pPr>
      <w:r>
        <w:rPr>
          <w:color w:val="auto"/>
          <w:spacing w:val="-3"/>
          <w:sz w:val="24"/>
          <w:szCs w:val="24"/>
        </w:rPr>
        <w:t>2、 不谈论与本次认证无直接关系的事宜；禁止玩游戏、炒股、网购和浏览无关网页等。</w:t>
      </w:r>
    </w:p>
    <w:p w14:paraId="026385BF">
      <w:pPr>
        <w:pStyle w:val="5"/>
        <w:spacing w:line="360" w:lineRule="auto"/>
        <w:ind w:left="113" w:right="306" w:firstLine="468" w:firstLineChars="200"/>
        <w:jc w:val="both"/>
        <w:rPr>
          <w:color w:val="auto"/>
          <w:spacing w:val="-3"/>
          <w:sz w:val="24"/>
          <w:szCs w:val="24"/>
        </w:rPr>
      </w:pPr>
    </w:p>
    <w:p w14:paraId="26CD032B">
      <w:pPr>
        <w:pStyle w:val="5"/>
        <w:spacing w:line="360" w:lineRule="auto"/>
        <w:ind w:left="113" w:right="306" w:firstLine="468" w:firstLineChars="200"/>
        <w:jc w:val="both"/>
        <w:rPr>
          <w:color w:val="auto"/>
          <w:spacing w:val="-3"/>
          <w:sz w:val="24"/>
          <w:szCs w:val="24"/>
        </w:rPr>
      </w:pPr>
    </w:p>
    <w:p w14:paraId="756C499A">
      <w:pPr>
        <w:pStyle w:val="5"/>
        <w:spacing w:line="360" w:lineRule="auto"/>
        <w:ind w:left="113" w:right="306" w:firstLine="468" w:firstLineChars="200"/>
        <w:jc w:val="both"/>
        <w:rPr>
          <w:color w:val="auto"/>
          <w:sz w:val="24"/>
          <w:szCs w:val="24"/>
        </w:rPr>
      </w:pPr>
      <w:r>
        <w:rPr>
          <w:color w:val="auto"/>
          <w:spacing w:val="-3"/>
          <w:sz w:val="24"/>
          <w:szCs w:val="24"/>
        </w:rPr>
        <w:t>3、遵守企业的相关工作场所管理的规章制度，尤其是职业健康安全及卫生环保等方面的要求，如安全防护、环境洁净、健康卫生和禁止吸烟等要求。</w:t>
      </w:r>
    </w:p>
    <w:p w14:paraId="735266D0">
      <w:pPr>
        <w:spacing w:before="1"/>
        <w:ind w:left="113" w:firstLine="480" w:firstLineChars="200"/>
        <w:rPr>
          <w:rFonts w:ascii="黑体" w:hAnsi="黑体" w:eastAsia="黑体"/>
          <w:color w:val="auto"/>
          <w:sz w:val="24"/>
          <w:szCs w:val="24"/>
        </w:rPr>
      </w:pPr>
      <w:r>
        <w:rPr>
          <w:rFonts w:ascii="黑体" w:hAnsi="黑体" w:eastAsia="黑体"/>
          <w:color w:val="auto"/>
          <w:sz w:val="24"/>
          <w:szCs w:val="24"/>
        </w:rPr>
        <w:t>第 10 条 加强团队合作</w:t>
      </w:r>
    </w:p>
    <w:p w14:paraId="713316DD">
      <w:pPr>
        <w:pStyle w:val="5"/>
        <w:spacing w:before="196" w:line="360" w:lineRule="auto"/>
        <w:ind w:firstLine="480" w:firstLineChars="200"/>
        <w:rPr>
          <w:rFonts w:hint="eastAsia"/>
          <w:color w:val="auto"/>
          <w:sz w:val="24"/>
          <w:szCs w:val="24"/>
        </w:rPr>
      </w:pPr>
      <w:r>
        <w:rPr>
          <w:color w:val="auto"/>
          <w:sz w:val="24"/>
          <w:szCs w:val="24"/>
        </w:rPr>
        <w:t>审核组成员在审核过程中，要有团队合作精神。</w:t>
      </w:r>
    </w:p>
    <w:p w14:paraId="65A9222B">
      <w:pPr>
        <w:pStyle w:val="5"/>
        <w:spacing w:before="1" w:line="360" w:lineRule="auto"/>
        <w:ind w:left="112" w:right="409" w:firstLine="480" w:firstLineChars="200"/>
        <w:jc w:val="both"/>
        <w:rPr>
          <w:color w:val="auto"/>
          <w:sz w:val="24"/>
          <w:szCs w:val="24"/>
        </w:rPr>
      </w:pPr>
      <w:r>
        <w:rPr>
          <w:color w:val="auto"/>
          <w:sz w:val="24"/>
          <w:szCs w:val="24"/>
        </w:rPr>
        <w:t>1</w:t>
      </w:r>
      <w:r>
        <w:rPr>
          <w:color w:val="auto"/>
          <w:spacing w:val="-4"/>
          <w:sz w:val="24"/>
          <w:szCs w:val="24"/>
        </w:rPr>
        <w:t>、 不得在企业人员面前表达对其他审核人员的看法和意见；对不符合报告和审核结论要经审核组充</w:t>
      </w:r>
      <w:r>
        <w:rPr>
          <w:color w:val="auto"/>
          <w:spacing w:val="-3"/>
          <w:sz w:val="24"/>
          <w:szCs w:val="24"/>
        </w:rPr>
        <w:t>分讨论后达成一致，不得在企业人员面前争论问题。</w:t>
      </w:r>
    </w:p>
    <w:p w14:paraId="02391D32">
      <w:pPr>
        <w:pStyle w:val="5"/>
        <w:spacing w:before="40" w:line="360" w:lineRule="auto"/>
        <w:ind w:left="112" w:right="407" w:firstLine="480" w:firstLineChars="200"/>
        <w:jc w:val="both"/>
        <w:rPr>
          <w:color w:val="auto"/>
          <w:sz w:val="24"/>
          <w:szCs w:val="24"/>
        </w:rPr>
      </w:pPr>
      <w:r>
        <w:rPr>
          <w:color w:val="auto"/>
          <w:sz w:val="24"/>
          <w:szCs w:val="24"/>
        </w:rPr>
        <w:t>2</w:t>
      </w:r>
      <w:r>
        <w:rPr>
          <w:color w:val="auto"/>
          <w:spacing w:val="-11"/>
          <w:sz w:val="24"/>
          <w:szCs w:val="24"/>
        </w:rPr>
        <w:t xml:space="preserve">、审核组成员应当服从审核组长的领导。当审核组难以达成一致意见时，审核组成员可以保留意见， </w:t>
      </w:r>
      <w:r>
        <w:rPr>
          <w:color w:val="auto"/>
          <w:spacing w:val="-6"/>
          <w:sz w:val="24"/>
          <w:szCs w:val="24"/>
        </w:rPr>
        <w:t>在企业人员不在场时向公司审核部报告，由公司做出决定。</w:t>
      </w:r>
    </w:p>
    <w:p w14:paraId="51EDCCA2">
      <w:pPr>
        <w:pStyle w:val="5"/>
        <w:spacing w:before="51" w:line="360" w:lineRule="auto"/>
        <w:ind w:left="112" w:right="311" w:firstLine="480" w:firstLineChars="200"/>
        <w:jc w:val="both"/>
        <w:rPr>
          <w:color w:val="auto"/>
          <w:spacing w:val="-4"/>
          <w:sz w:val="24"/>
          <w:szCs w:val="24"/>
        </w:rPr>
      </w:pPr>
      <w:r>
        <w:rPr>
          <w:color w:val="auto"/>
          <w:sz w:val="24"/>
          <w:szCs w:val="24"/>
        </w:rPr>
        <w:t>3</w:t>
      </w:r>
      <w:r>
        <w:rPr>
          <w:color w:val="auto"/>
          <w:spacing w:val="-1"/>
          <w:sz w:val="24"/>
          <w:szCs w:val="24"/>
        </w:rPr>
        <w:t>、 整个审核过程中审核组长责任重大，应作好策划和组织协商工作，审核工作做到原则性与灵活性</w:t>
      </w:r>
      <w:r>
        <w:rPr>
          <w:color w:val="auto"/>
          <w:spacing w:val="-5"/>
          <w:sz w:val="24"/>
          <w:szCs w:val="24"/>
        </w:rPr>
        <w:t>相结合，公正客观和有效服务相结合，与企业形成良好人际关系。合理安排计划，调整审核计划时应事先</w:t>
      </w:r>
      <w:r>
        <w:rPr>
          <w:color w:val="auto"/>
          <w:spacing w:val="-4"/>
          <w:sz w:val="24"/>
          <w:szCs w:val="24"/>
        </w:rPr>
        <w:t>征得企业同意，并报告公司审核部。</w:t>
      </w:r>
    </w:p>
    <w:p w14:paraId="37795483">
      <w:pPr>
        <w:spacing w:line="360" w:lineRule="auto"/>
        <w:ind w:left="112" w:firstLine="480" w:firstLineChars="200"/>
        <w:rPr>
          <w:rFonts w:hint="eastAsia" w:ascii="黑体" w:hAnsi="黑体" w:eastAsia="黑体"/>
          <w:color w:val="auto"/>
          <w:sz w:val="24"/>
          <w:szCs w:val="24"/>
        </w:rPr>
      </w:pPr>
      <w:r>
        <w:rPr>
          <w:rFonts w:ascii="黑体" w:hAnsi="黑体" w:eastAsia="黑体"/>
          <w:color w:val="auto"/>
          <w:sz w:val="24"/>
          <w:szCs w:val="24"/>
        </w:rPr>
        <w:t>第 11 条 全程做好服务</w:t>
      </w:r>
    </w:p>
    <w:p w14:paraId="78E068A0">
      <w:pPr>
        <w:pStyle w:val="5"/>
        <w:spacing w:before="43" w:line="360" w:lineRule="auto"/>
        <w:ind w:right="312" w:firstLine="480" w:firstLineChars="200"/>
        <w:jc w:val="both"/>
        <w:rPr>
          <w:color w:val="auto"/>
          <w:sz w:val="24"/>
          <w:szCs w:val="24"/>
        </w:rPr>
      </w:pPr>
      <w:r>
        <w:rPr>
          <w:color w:val="auto"/>
          <w:sz w:val="24"/>
          <w:szCs w:val="24"/>
        </w:rPr>
        <w:t>审核人员对企业托付的与机构认证审核有关的事情如文件、表格、费用等要主动热情，不能推卸、拖延或置之不理。审核员有义务介绍和宣传质环认证，有义务收集市场信息并反馈至公司审核部，以便公司向有认证需求的企业提供相应的认证服务。</w:t>
      </w:r>
    </w:p>
    <w:p w14:paraId="28A4E279">
      <w:pPr>
        <w:pStyle w:val="5"/>
        <w:spacing w:before="11"/>
        <w:rPr>
          <w:color w:val="auto"/>
          <w:sz w:val="16"/>
        </w:rPr>
      </w:pPr>
    </w:p>
    <w:p w14:paraId="745FCF3A">
      <w:pPr>
        <w:pStyle w:val="2"/>
        <w:ind w:left="113"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12 条 秉持客观公正的态度</w:t>
      </w:r>
    </w:p>
    <w:p w14:paraId="3F11A0D2">
      <w:pPr>
        <w:pStyle w:val="5"/>
        <w:spacing w:before="7"/>
        <w:rPr>
          <w:b/>
          <w:color w:val="auto"/>
          <w:sz w:val="18"/>
        </w:rPr>
      </w:pPr>
    </w:p>
    <w:p w14:paraId="2D4D626F">
      <w:pPr>
        <w:pStyle w:val="5"/>
        <w:spacing w:line="360" w:lineRule="auto"/>
        <w:ind w:right="408" w:firstLine="476" w:firstLineChars="200"/>
        <w:jc w:val="both"/>
        <w:rPr>
          <w:color w:val="auto"/>
          <w:sz w:val="24"/>
          <w:szCs w:val="24"/>
        </w:rPr>
      </w:pPr>
      <w:r>
        <w:rPr>
          <w:color w:val="auto"/>
          <w:spacing w:val="-1"/>
          <w:sz w:val="24"/>
          <w:szCs w:val="24"/>
        </w:rPr>
        <w:t>不得发生有可能影响认证公正性和有效性的行为，包括但不限于以下内容： 接受企业及其工作人员或任何相关方的礼金、礼品及其他任何形式的好处；报销不合理的费用；提出不合理的</w:t>
      </w:r>
      <w:r>
        <w:rPr>
          <w:color w:val="auto"/>
          <w:spacing w:val="-3"/>
          <w:sz w:val="24"/>
          <w:szCs w:val="24"/>
        </w:rPr>
        <w:t>食宿条件；参加或暗示参加娱乐性活动及其它违反认证认可要求及注册准则规定的情况。</w:t>
      </w:r>
    </w:p>
    <w:p w14:paraId="2DE34AC6">
      <w:pPr>
        <w:pStyle w:val="5"/>
        <w:spacing w:before="7"/>
        <w:rPr>
          <w:color w:val="auto"/>
          <w:sz w:val="28"/>
        </w:rPr>
      </w:pPr>
    </w:p>
    <w:p w14:paraId="004E2D51">
      <w:pPr>
        <w:ind w:left="113" w:firstLine="480" w:firstLineChars="200"/>
        <w:rPr>
          <w:rFonts w:ascii="黑体" w:hAnsi="黑体" w:eastAsia="黑体"/>
          <w:color w:val="auto"/>
          <w:sz w:val="24"/>
          <w:szCs w:val="24"/>
        </w:rPr>
      </w:pPr>
      <w:r>
        <w:rPr>
          <w:rFonts w:ascii="黑体" w:hAnsi="黑体" w:eastAsia="黑体"/>
          <w:color w:val="auto"/>
          <w:sz w:val="24"/>
          <w:szCs w:val="24"/>
        </w:rPr>
        <w:t>第 13 条 遵守保密性原则</w:t>
      </w:r>
    </w:p>
    <w:p w14:paraId="60F0B8AF">
      <w:pPr>
        <w:pStyle w:val="5"/>
        <w:rPr>
          <w:b/>
          <w:color w:val="auto"/>
          <w:sz w:val="20"/>
        </w:rPr>
      </w:pPr>
    </w:p>
    <w:p w14:paraId="62463B2D">
      <w:pPr>
        <w:pStyle w:val="5"/>
        <w:spacing w:line="360" w:lineRule="auto"/>
        <w:ind w:right="391" w:firstLine="468" w:firstLineChars="200"/>
        <w:rPr>
          <w:color w:val="auto"/>
          <w:spacing w:val="-3"/>
          <w:sz w:val="24"/>
          <w:szCs w:val="24"/>
        </w:rPr>
      </w:pPr>
      <w:r>
        <w:rPr>
          <w:color w:val="auto"/>
          <w:spacing w:val="-3"/>
          <w:sz w:val="24"/>
          <w:szCs w:val="24"/>
        </w:rPr>
        <w:t xml:space="preserve">审核组成员在审核过程中，应做好企业信息和审核信息的保密工作，包括但不限于以下内容： </w:t>
      </w:r>
    </w:p>
    <w:p w14:paraId="11130490">
      <w:pPr>
        <w:pStyle w:val="5"/>
        <w:spacing w:line="360" w:lineRule="auto"/>
        <w:ind w:right="390" w:firstLine="468" w:firstLineChars="200"/>
        <w:rPr>
          <w:color w:val="auto"/>
          <w:sz w:val="24"/>
          <w:szCs w:val="24"/>
        </w:rPr>
      </w:pPr>
      <w:r>
        <w:rPr>
          <w:color w:val="auto"/>
          <w:spacing w:val="-3"/>
          <w:sz w:val="24"/>
          <w:szCs w:val="24"/>
        </w:rPr>
        <w:t>1、 不得复制或拷贝企业有保密要求的材料作为审核记录，特别是禁止拷贝或复制涉及到军方和国家</w:t>
      </w:r>
      <w:r>
        <w:rPr>
          <w:color w:val="auto"/>
          <w:spacing w:val="-10"/>
          <w:sz w:val="24"/>
          <w:szCs w:val="24"/>
        </w:rPr>
        <w:t>秘密的资料。对若有必要复制或拷贝的企业的任何资料，事前应征得企业的同意，并应严格按照机构保密</w:t>
      </w:r>
      <w:r>
        <w:rPr>
          <w:color w:val="auto"/>
          <w:sz w:val="24"/>
          <w:szCs w:val="24"/>
        </w:rPr>
        <w:t>要求处理。若企业提出的保密要求对审核的有效性造成影响时,应与企业积极沟通说明，必要时报告至公司</w:t>
      </w:r>
      <w:r>
        <w:rPr>
          <w:rFonts w:hint="eastAsia"/>
          <w:color w:val="auto"/>
          <w:sz w:val="24"/>
          <w:szCs w:val="24"/>
        </w:rPr>
        <w:t>审核部</w:t>
      </w:r>
      <w:r>
        <w:rPr>
          <w:color w:val="auto"/>
          <w:sz w:val="24"/>
          <w:szCs w:val="24"/>
        </w:rPr>
        <w:t>。</w:t>
      </w:r>
    </w:p>
    <w:p w14:paraId="5BF40A01">
      <w:pPr>
        <w:pStyle w:val="5"/>
        <w:spacing w:line="360" w:lineRule="auto"/>
        <w:ind w:left="112" w:right="390" w:firstLine="480" w:firstLineChars="200"/>
        <w:rPr>
          <w:color w:val="auto"/>
          <w:sz w:val="24"/>
          <w:szCs w:val="24"/>
        </w:rPr>
      </w:pPr>
    </w:p>
    <w:p w14:paraId="37088216">
      <w:pPr>
        <w:pStyle w:val="5"/>
        <w:spacing w:line="360" w:lineRule="auto"/>
        <w:ind w:left="112" w:right="390" w:firstLine="480" w:firstLineChars="200"/>
        <w:rPr>
          <w:color w:val="auto"/>
          <w:sz w:val="24"/>
          <w:szCs w:val="24"/>
        </w:rPr>
      </w:pPr>
      <w:r>
        <w:rPr>
          <w:color w:val="auto"/>
          <w:sz w:val="24"/>
          <w:szCs w:val="24"/>
        </w:rPr>
        <w:t>2、 对接触到的企业任何商业上和技术上的信息应予以保密，未得到许可的情况下，不得向任何第三方透露。</w:t>
      </w:r>
    </w:p>
    <w:p w14:paraId="72A862AF">
      <w:pPr>
        <w:pStyle w:val="5"/>
        <w:spacing w:line="360" w:lineRule="auto"/>
        <w:ind w:firstLine="480" w:firstLineChars="200"/>
        <w:rPr>
          <w:color w:val="auto"/>
          <w:sz w:val="24"/>
          <w:szCs w:val="24"/>
        </w:rPr>
      </w:pPr>
      <w:r>
        <w:rPr>
          <w:color w:val="auto"/>
          <w:sz w:val="24"/>
          <w:szCs w:val="24"/>
        </w:rPr>
        <w:t>3、 在审核组作出最终审核意见之前，审核员不得向企业暗示审核结论。</w:t>
      </w:r>
    </w:p>
    <w:p w14:paraId="25492846">
      <w:pPr>
        <w:rPr>
          <w:color w:val="auto"/>
        </w:rPr>
      </w:pPr>
    </w:p>
    <w:p w14:paraId="70756213">
      <w:pPr>
        <w:spacing w:before="72"/>
        <w:ind w:left="113" w:firstLine="372" w:firstLineChars="200"/>
        <w:jc w:val="both"/>
        <w:rPr>
          <w:rFonts w:ascii="黑体" w:hAnsi="黑体" w:eastAsia="黑体"/>
          <w:color w:val="auto"/>
          <w:sz w:val="24"/>
          <w:szCs w:val="24"/>
        </w:rPr>
      </w:pPr>
      <w:r>
        <w:rPr>
          <w:rFonts w:ascii="黑体" w:hAnsi="黑体" w:eastAsia="黑体"/>
          <w:color w:val="auto"/>
          <w:spacing w:val="-27"/>
          <w:sz w:val="24"/>
          <w:szCs w:val="24"/>
        </w:rPr>
        <w:t xml:space="preserve">第 </w:t>
      </w:r>
      <w:r>
        <w:rPr>
          <w:rFonts w:ascii="黑体" w:hAnsi="黑体" w:eastAsia="黑体"/>
          <w:color w:val="auto"/>
          <w:sz w:val="24"/>
          <w:szCs w:val="24"/>
        </w:rPr>
        <w:t>14</w:t>
      </w:r>
      <w:r>
        <w:rPr>
          <w:rFonts w:ascii="黑体" w:hAnsi="黑体" w:eastAsia="黑体"/>
          <w:color w:val="auto"/>
          <w:spacing w:val="4"/>
          <w:sz w:val="24"/>
          <w:szCs w:val="24"/>
        </w:rPr>
        <w:t xml:space="preserve"> </w:t>
      </w:r>
      <w:r>
        <w:rPr>
          <w:rFonts w:ascii="黑体" w:hAnsi="黑体" w:eastAsia="黑体"/>
          <w:color w:val="auto"/>
          <w:spacing w:val="-5"/>
          <w:sz w:val="24"/>
          <w:szCs w:val="24"/>
        </w:rPr>
        <w:t>条 珍惜实习机会</w:t>
      </w:r>
    </w:p>
    <w:p w14:paraId="6372E837">
      <w:pPr>
        <w:pStyle w:val="5"/>
        <w:spacing w:before="11" w:line="360" w:lineRule="auto"/>
        <w:ind w:firstLine="480" w:firstLineChars="200"/>
        <w:rPr>
          <w:rFonts w:ascii="黑体" w:hAnsi="黑体" w:eastAsia="黑体"/>
          <w:color w:val="auto"/>
          <w:sz w:val="24"/>
          <w:szCs w:val="24"/>
        </w:rPr>
      </w:pPr>
    </w:p>
    <w:p w14:paraId="2EC047BA">
      <w:pPr>
        <w:pStyle w:val="5"/>
        <w:spacing w:before="1" w:line="360" w:lineRule="auto"/>
        <w:ind w:right="306" w:firstLine="460" w:firstLineChars="200"/>
        <w:jc w:val="both"/>
        <w:rPr>
          <w:color w:val="auto"/>
          <w:sz w:val="24"/>
          <w:szCs w:val="24"/>
        </w:rPr>
      </w:pPr>
      <w:r>
        <w:rPr>
          <w:color w:val="auto"/>
          <w:spacing w:val="-5"/>
          <w:sz w:val="24"/>
          <w:szCs w:val="24"/>
        </w:rPr>
        <w:t>实习审核员要珍惜公司安排的实习机会，务必积极参与现场审核活动。同组审核员应对实习审核</w:t>
      </w:r>
      <w:r>
        <w:rPr>
          <w:color w:val="auto"/>
          <w:spacing w:val="-7"/>
          <w:sz w:val="24"/>
          <w:szCs w:val="24"/>
        </w:rPr>
        <w:t>员尽责指导，使其有机会参与现场审核活动。同组审核员对实习审核员的审核过程负责，对实习</w:t>
      </w:r>
      <w:r>
        <w:rPr>
          <w:color w:val="auto"/>
          <w:spacing w:val="-8"/>
          <w:sz w:val="24"/>
          <w:szCs w:val="24"/>
        </w:rPr>
        <w:t>的记录进行把关，实习审核员需将每次审核时独立完成的审核记录和审核报告随见证申请表一起</w:t>
      </w:r>
      <w:r>
        <w:rPr>
          <w:color w:val="auto"/>
          <w:spacing w:val="-5"/>
          <w:sz w:val="24"/>
          <w:szCs w:val="24"/>
        </w:rPr>
        <w:t>提交审核部。</w:t>
      </w:r>
    </w:p>
    <w:p w14:paraId="37D14B13">
      <w:pPr>
        <w:pStyle w:val="5"/>
        <w:spacing w:before="10"/>
        <w:rPr>
          <w:color w:val="auto"/>
          <w:sz w:val="14"/>
        </w:rPr>
      </w:pPr>
    </w:p>
    <w:p w14:paraId="2C9B60E5">
      <w:pPr>
        <w:pStyle w:val="2"/>
        <w:ind w:left="113"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15 条 积极参加公司组织的会议和培训</w:t>
      </w:r>
    </w:p>
    <w:p w14:paraId="1D4407F9">
      <w:pPr>
        <w:pStyle w:val="5"/>
        <w:spacing w:before="7"/>
        <w:rPr>
          <w:b/>
          <w:color w:val="auto"/>
          <w:sz w:val="18"/>
        </w:rPr>
      </w:pPr>
    </w:p>
    <w:p w14:paraId="5C8C8569">
      <w:pPr>
        <w:pStyle w:val="5"/>
        <w:spacing w:line="360" w:lineRule="auto"/>
        <w:ind w:firstLine="480" w:firstLineChars="200"/>
        <w:rPr>
          <w:color w:val="auto"/>
          <w:sz w:val="24"/>
          <w:szCs w:val="24"/>
        </w:rPr>
      </w:pPr>
      <w:r>
        <w:rPr>
          <w:color w:val="auto"/>
          <w:sz w:val="24"/>
          <w:szCs w:val="24"/>
        </w:rPr>
        <w:t>须按时参加公司为您实施的各项专业发展训练和审核员工作会议，并积极向公司建言献策。</w:t>
      </w:r>
    </w:p>
    <w:p w14:paraId="09277C19">
      <w:pPr>
        <w:pStyle w:val="5"/>
        <w:spacing w:before="12" w:line="360" w:lineRule="auto"/>
        <w:ind w:firstLine="480" w:firstLineChars="200"/>
        <w:rPr>
          <w:color w:val="auto"/>
          <w:sz w:val="24"/>
          <w:szCs w:val="24"/>
        </w:rPr>
      </w:pPr>
    </w:p>
    <w:p w14:paraId="49FA5363">
      <w:pPr>
        <w:pStyle w:val="2"/>
        <w:ind w:left="113" w:firstLine="480" w:firstLineChars="200"/>
        <w:jc w:val="both"/>
        <w:rPr>
          <w:color w:val="auto"/>
        </w:rPr>
      </w:pPr>
      <w:r>
        <w:rPr>
          <w:rFonts w:ascii="黑体" w:hAnsi="黑体" w:eastAsia="黑体"/>
          <w:b w:val="0"/>
          <w:bCs w:val="0"/>
          <w:color w:val="auto"/>
          <w:sz w:val="24"/>
          <w:szCs w:val="24"/>
        </w:rPr>
        <w:t>第 16 条 及时反馈企业需求</w:t>
      </w:r>
    </w:p>
    <w:p w14:paraId="00709114">
      <w:pPr>
        <w:pStyle w:val="5"/>
        <w:spacing w:before="7"/>
        <w:rPr>
          <w:b/>
          <w:color w:val="auto"/>
          <w:sz w:val="18"/>
        </w:rPr>
      </w:pPr>
    </w:p>
    <w:p w14:paraId="2B25FD64">
      <w:pPr>
        <w:pStyle w:val="5"/>
        <w:spacing w:line="360" w:lineRule="auto"/>
        <w:ind w:right="386" w:firstLine="480" w:firstLineChars="200"/>
        <w:rPr>
          <w:color w:val="auto"/>
          <w:sz w:val="24"/>
          <w:szCs w:val="24"/>
        </w:rPr>
      </w:pPr>
      <w:r>
        <w:rPr>
          <w:color w:val="auto"/>
          <w:sz w:val="24"/>
          <w:szCs w:val="24"/>
        </w:rPr>
        <w:t>现场审核末次会议上按要求明确宣布企业后续监督审核/再认证事宜，若企业有培训或扩项等需求时，及时将信息反馈给客服相关人员。</w:t>
      </w:r>
    </w:p>
    <w:p w14:paraId="3925585C">
      <w:pPr>
        <w:pStyle w:val="2"/>
        <w:ind w:left="113" w:firstLine="480" w:firstLineChars="200"/>
        <w:jc w:val="both"/>
        <w:rPr>
          <w:rFonts w:ascii="黑体" w:hAnsi="黑体" w:eastAsia="黑体"/>
          <w:b w:val="0"/>
          <w:bCs w:val="0"/>
          <w:color w:val="auto"/>
          <w:sz w:val="24"/>
          <w:szCs w:val="24"/>
        </w:rPr>
      </w:pPr>
      <w:r>
        <w:rPr>
          <w:rFonts w:ascii="黑体" w:hAnsi="黑体" w:eastAsia="黑体"/>
          <w:b w:val="0"/>
          <w:bCs w:val="0"/>
          <w:color w:val="auto"/>
          <w:sz w:val="24"/>
          <w:szCs w:val="24"/>
        </w:rPr>
        <w:t>第 17 条 自觉接受检查与监督</w:t>
      </w:r>
    </w:p>
    <w:p w14:paraId="5633D335">
      <w:pPr>
        <w:pStyle w:val="5"/>
        <w:spacing w:before="9"/>
        <w:rPr>
          <w:b/>
          <w:color w:val="auto"/>
          <w:sz w:val="25"/>
        </w:rPr>
      </w:pPr>
    </w:p>
    <w:p w14:paraId="6B39FF19">
      <w:pPr>
        <w:pStyle w:val="5"/>
        <w:spacing w:line="360" w:lineRule="auto"/>
        <w:ind w:left="113" w:right="409" w:firstLine="480" w:firstLineChars="200"/>
        <w:jc w:val="both"/>
        <w:rPr>
          <w:color w:val="auto"/>
          <w:sz w:val="24"/>
          <w:szCs w:val="24"/>
        </w:rPr>
      </w:pPr>
      <w:r>
        <w:rPr>
          <w:color w:val="auto"/>
          <w:sz w:val="24"/>
          <w:szCs w:val="24"/>
        </w:rPr>
        <w:t>1</w:t>
      </w:r>
      <w:r>
        <w:rPr>
          <w:color w:val="auto"/>
          <w:spacing w:val="-5"/>
          <w:sz w:val="24"/>
          <w:szCs w:val="24"/>
        </w:rPr>
        <w:t>、 自觉接受社会各界的监督，审核员相互监督，认证机构的监督，企业监督和各级认证认可行政监管部门监督。当企业/监管方询问时，审核员应如实向企业</w:t>
      </w:r>
      <w:r>
        <w:rPr>
          <w:color w:val="auto"/>
          <w:sz w:val="24"/>
          <w:szCs w:val="24"/>
        </w:rPr>
        <w:t>/</w:t>
      </w:r>
      <w:r>
        <w:rPr>
          <w:color w:val="auto"/>
          <w:spacing w:val="-1"/>
          <w:sz w:val="24"/>
          <w:szCs w:val="24"/>
        </w:rPr>
        <w:t>监管方介绍本人的注册级别、注册领域、专</w:t>
      </w:r>
      <w:r>
        <w:rPr>
          <w:color w:val="auto"/>
          <w:spacing w:val="-2"/>
          <w:sz w:val="24"/>
          <w:szCs w:val="24"/>
        </w:rPr>
        <w:t>兼职情况等。</w:t>
      </w:r>
    </w:p>
    <w:p w14:paraId="6E92B7EF">
      <w:pPr>
        <w:pStyle w:val="5"/>
        <w:spacing w:line="360" w:lineRule="auto"/>
        <w:ind w:left="113" w:right="407" w:firstLine="468" w:firstLineChars="200"/>
        <w:rPr>
          <w:color w:val="auto"/>
          <w:sz w:val="24"/>
          <w:szCs w:val="24"/>
        </w:rPr>
      </w:pPr>
      <w:r>
        <w:rPr>
          <w:color w:val="auto"/>
          <w:spacing w:val="-3"/>
          <w:sz w:val="24"/>
          <w:szCs w:val="24"/>
        </w:rPr>
        <w:t>2</w:t>
      </w:r>
      <w:r>
        <w:rPr>
          <w:color w:val="auto"/>
          <w:spacing w:val="-13"/>
          <w:sz w:val="24"/>
          <w:szCs w:val="24"/>
        </w:rPr>
        <w:t xml:space="preserve">、所有审核员须以质环的名义开展审核，不允许在审核过程中从事与本次审核无关的其他业务活动， </w:t>
      </w:r>
      <w:r>
        <w:rPr>
          <w:color w:val="auto"/>
          <w:spacing w:val="-7"/>
          <w:sz w:val="24"/>
          <w:szCs w:val="24"/>
        </w:rPr>
        <w:t>兼职审核员</w:t>
      </w:r>
      <w:r>
        <w:rPr>
          <w:color w:val="auto"/>
          <w:sz w:val="24"/>
          <w:szCs w:val="24"/>
        </w:rPr>
        <w:t>/</w:t>
      </w:r>
      <w:r>
        <w:rPr>
          <w:color w:val="auto"/>
          <w:spacing w:val="-3"/>
          <w:sz w:val="24"/>
          <w:szCs w:val="24"/>
        </w:rPr>
        <w:t>技术专家不得宣传其所在单位的业务。</w:t>
      </w:r>
    </w:p>
    <w:p w14:paraId="748C7B9E">
      <w:pPr>
        <w:pStyle w:val="5"/>
        <w:spacing w:line="360" w:lineRule="auto"/>
        <w:ind w:left="113" w:right="311" w:firstLine="468" w:firstLineChars="200"/>
        <w:rPr>
          <w:color w:val="auto"/>
          <w:sz w:val="24"/>
          <w:szCs w:val="24"/>
        </w:rPr>
      </w:pPr>
      <w:r>
        <w:rPr>
          <w:color w:val="auto"/>
          <w:spacing w:val="-3"/>
          <w:sz w:val="24"/>
          <w:szCs w:val="24"/>
        </w:rPr>
        <w:t>3</w:t>
      </w:r>
      <w:r>
        <w:rPr>
          <w:color w:val="auto"/>
          <w:spacing w:val="-6"/>
          <w:sz w:val="24"/>
          <w:szCs w:val="24"/>
        </w:rPr>
        <w:t>、当审核员被投诉或举报时，包括任何单位和个人向认证机构、监管机构、认可协会等提出的投诉或</w:t>
      </w:r>
      <w:r>
        <w:rPr>
          <w:color w:val="auto"/>
          <w:spacing w:val="-4"/>
          <w:sz w:val="24"/>
          <w:szCs w:val="24"/>
        </w:rPr>
        <w:t>举报，审核员应极回应并接受调查。</w:t>
      </w:r>
    </w:p>
    <w:p w14:paraId="7B30D0FE">
      <w:pPr>
        <w:pStyle w:val="2"/>
        <w:tabs>
          <w:tab w:val="left" w:pos="1051"/>
        </w:tabs>
        <w:ind w:left="0" w:right="649"/>
        <w:jc w:val="center"/>
        <w:rPr>
          <w:rFonts w:ascii="华文中宋" w:hAnsi="华文中宋" w:eastAsia="华文中宋"/>
          <w:color w:val="auto"/>
          <w:sz w:val="36"/>
          <w:szCs w:val="36"/>
        </w:rPr>
      </w:pPr>
      <w:r>
        <w:rPr>
          <w:rFonts w:ascii="华文中宋" w:hAnsi="华文中宋" w:eastAsia="华文中宋"/>
          <w:color w:val="auto"/>
          <w:sz w:val="36"/>
          <w:szCs w:val="36"/>
        </w:rPr>
        <w:t>第三章</w:t>
      </w:r>
      <w:r>
        <w:rPr>
          <w:rFonts w:ascii="华文中宋" w:hAnsi="华文中宋" w:eastAsia="华文中宋"/>
          <w:color w:val="auto"/>
          <w:sz w:val="36"/>
          <w:szCs w:val="36"/>
        </w:rPr>
        <w:tab/>
      </w:r>
      <w:r>
        <w:rPr>
          <w:rFonts w:ascii="华文中宋" w:hAnsi="华文中宋" w:eastAsia="华文中宋"/>
          <w:color w:val="auto"/>
          <w:sz w:val="36"/>
          <w:szCs w:val="36"/>
        </w:rPr>
        <w:t>审核准备</w:t>
      </w:r>
    </w:p>
    <w:p w14:paraId="1C6D28C4">
      <w:pPr>
        <w:pStyle w:val="5"/>
        <w:spacing w:before="2"/>
        <w:rPr>
          <w:b/>
          <w:color w:val="auto"/>
          <w:sz w:val="23"/>
        </w:rPr>
      </w:pPr>
    </w:p>
    <w:p w14:paraId="1CA1DE22">
      <w:pPr>
        <w:spacing w:before="1" w:line="360" w:lineRule="auto"/>
        <w:ind w:firstLine="480" w:firstLineChars="200"/>
        <w:jc w:val="both"/>
        <w:rPr>
          <w:rFonts w:ascii="黑体" w:hAnsi="黑体" w:eastAsia="黑体"/>
          <w:bCs/>
          <w:color w:val="auto"/>
          <w:sz w:val="24"/>
          <w:szCs w:val="24"/>
        </w:rPr>
      </w:pPr>
      <w:r>
        <w:rPr>
          <w:rFonts w:ascii="黑体" w:hAnsi="黑体" w:eastAsia="黑体"/>
          <w:bCs/>
          <w:color w:val="auto"/>
          <w:sz w:val="24"/>
          <w:szCs w:val="24"/>
        </w:rPr>
        <w:t>第 01 条 接受审核任务</w:t>
      </w:r>
    </w:p>
    <w:p w14:paraId="3597D523">
      <w:pPr>
        <w:pStyle w:val="5"/>
        <w:spacing w:before="12" w:line="360" w:lineRule="auto"/>
        <w:ind w:firstLine="522" w:firstLineChars="200"/>
        <w:rPr>
          <w:b/>
          <w:color w:val="auto"/>
          <w:sz w:val="26"/>
        </w:rPr>
      </w:pPr>
    </w:p>
    <w:p w14:paraId="167D3FE3">
      <w:pPr>
        <w:pStyle w:val="5"/>
        <w:spacing w:line="360" w:lineRule="auto"/>
        <w:ind w:firstLine="480" w:firstLineChars="200"/>
        <w:jc w:val="both"/>
        <w:rPr>
          <w:color w:val="auto"/>
          <w:sz w:val="24"/>
          <w:szCs w:val="24"/>
        </w:rPr>
      </w:pPr>
    </w:p>
    <w:p w14:paraId="721EFCFA">
      <w:pPr>
        <w:pStyle w:val="5"/>
        <w:spacing w:line="360" w:lineRule="auto"/>
        <w:ind w:firstLine="480" w:firstLineChars="200"/>
        <w:jc w:val="both"/>
        <w:rPr>
          <w:color w:val="auto"/>
          <w:sz w:val="24"/>
          <w:szCs w:val="24"/>
        </w:rPr>
      </w:pPr>
      <w:r>
        <w:rPr>
          <w:color w:val="auto"/>
          <w:sz w:val="24"/>
          <w:szCs w:val="24"/>
        </w:rPr>
        <w:t>1、</w:t>
      </w:r>
      <w:r>
        <w:rPr>
          <w:rFonts w:hint="eastAsia"/>
          <w:color w:val="auto"/>
          <w:sz w:val="24"/>
          <w:szCs w:val="24"/>
        </w:rPr>
        <w:t xml:space="preserve"> 审核</w:t>
      </w:r>
      <w:r>
        <w:rPr>
          <w:color w:val="auto"/>
          <w:sz w:val="24"/>
          <w:szCs w:val="24"/>
        </w:rPr>
        <w:t>部统一在公司ERP 中向审核员安排审核任务，审核员应每天及时到系统中下载《审核任务书》。</w:t>
      </w:r>
    </w:p>
    <w:p w14:paraId="17C9F588">
      <w:pPr>
        <w:pStyle w:val="5"/>
        <w:spacing w:before="170" w:line="360" w:lineRule="auto"/>
        <w:ind w:right="306" w:firstLine="480" w:firstLineChars="200"/>
        <w:jc w:val="both"/>
        <w:rPr>
          <w:color w:val="auto"/>
          <w:sz w:val="24"/>
          <w:szCs w:val="24"/>
        </w:rPr>
      </w:pPr>
      <w:r>
        <w:rPr>
          <w:color w:val="auto"/>
          <w:sz w:val="24"/>
          <w:szCs w:val="24"/>
        </w:rPr>
        <w:t>2</w:t>
      </w:r>
      <w:r>
        <w:rPr>
          <w:color w:val="auto"/>
          <w:spacing w:val="-4"/>
          <w:sz w:val="24"/>
          <w:szCs w:val="24"/>
        </w:rPr>
        <w:t>、 审核组长在接受审核任务时，确保完全理解审核任务书的内容，并结合企业资料对任务书中以下重</w:t>
      </w:r>
      <w:r>
        <w:rPr>
          <w:color w:val="auto"/>
          <w:spacing w:val="-5"/>
          <w:sz w:val="24"/>
          <w:szCs w:val="24"/>
        </w:rPr>
        <w:t>要内容进行确认：审核类型、认证标准、认证范围、专业代码、专业分配、专职审核员、专业审核员、审</w:t>
      </w:r>
      <w:r>
        <w:rPr>
          <w:color w:val="auto"/>
          <w:spacing w:val="-4"/>
          <w:sz w:val="24"/>
          <w:szCs w:val="24"/>
        </w:rPr>
        <w:t>核日期等。如有疑问应及时联系</w:t>
      </w:r>
      <w:r>
        <w:rPr>
          <w:rFonts w:hint="eastAsia"/>
          <w:color w:val="auto"/>
          <w:spacing w:val="-4"/>
          <w:sz w:val="24"/>
          <w:szCs w:val="24"/>
        </w:rPr>
        <w:t>审核</w:t>
      </w:r>
      <w:r>
        <w:rPr>
          <w:color w:val="auto"/>
          <w:spacing w:val="-4"/>
          <w:sz w:val="24"/>
          <w:szCs w:val="24"/>
        </w:rPr>
        <w:t>部</w:t>
      </w:r>
      <w:r>
        <w:rPr>
          <w:rFonts w:hint="eastAsia"/>
          <w:color w:val="auto"/>
          <w:spacing w:val="-4"/>
          <w:sz w:val="24"/>
          <w:szCs w:val="24"/>
        </w:rPr>
        <w:t>/技术部</w:t>
      </w:r>
      <w:r>
        <w:rPr>
          <w:color w:val="auto"/>
          <w:spacing w:val="-4"/>
          <w:sz w:val="24"/>
          <w:szCs w:val="24"/>
        </w:rPr>
        <w:t>。</w:t>
      </w:r>
    </w:p>
    <w:p w14:paraId="5CAAB48F">
      <w:pPr>
        <w:pStyle w:val="5"/>
        <w:spacing w:line="360" w:lineRule="auto"/>
        <w:ind w:firstLine="480" w:firstLineChars="200"/>
        <w:jc w:val="both"/>
        <w:rPr>
          <w:color w:val="auto"/>
          <w:sz w:val="24"/>
          <w:szCs w:val="24"/>
        </w:rPr>
      </w:pPr>
      <w:r>
        <w:rPr>
          <w:color w:val="auto"/>
          <w:sz w:val="24"/>
          <w:szCs w:val="24"/>
        </w:rPr>
        <w:t>3、 审核组长接受审核任务后应及时与企业就下列问题进行沟通：</w:t>
      </w:r>
    </w:p>
    <w:p w14:paraId="429CC9A6">
      <w:pPr>
        <w:pStyle w:val="5"/>
        <w:spacing w:before="170" w:line="360" w:lineRule="auto"/>
        <w:ind w:left="112" w:right="309" w:firstLine="480" w:firstLineChars="200"/>
        <w:rPr>
          <w:color w:val="auto"/>
          <w:sz w:val="24"/>
          <w:szCs w:val="24"/>
        </w:rPr>
      </w:pPr>
      <w:r>
        <w:rPr>
          <w:color w:val="auto"/>
          <w:sz w:val="24"/>
          <w:szCs w:val="24"/>
        </w:rPr>
        <w:t>1).现场审核期间是否可观察到认证范围所涉及的所有产品的生产/服务过程，是否处于生产/提供服务阶段；审核范围是否一致；是否有异地现场或多现场等。</w:t>
      </w:r>
    </w:p>
    <w:p w14:paraId="45704882">
      <w:pPr>
        <w:pStyle w:val="21"/>
        <w:tabs>
          <w:tab w:val="left" w:pos="747"/>
        </w:tabs>
        <w:spacing w:before="57" w:line="360" w:lineRule="auto"/>
        <w:ind w:left="155" w:right="409" w:firstLine="480" w:firstLineChars="200"/>
        <w:jc w:val="both"/>
        <w:rPr>
          <w:color w:val="auto"/>
          <w:sz w:val="24"/>
          <w:szCs w:val="24"/>
        </w:rPr>
      </w:pPr>
      <w:r>
        <w:rPr>
          <w:color w:val="auto"/>
          <w:sz w:val="24"/>
          <w:szCs w:val="24"/>
        </w:rPr>
        <w:t>2).企业最高管理层是否能按计划接受审核（</w:t>
      </w:r>
      <w:r>
        <w:rPr>
          <w:color w:val="auto"/>
          <w:spacing w:val="-1"/>
          <w:sz w:val="24"/>
          <w:szCs w:val="24"/>
        </w:rPr>
        <w:t>总经理不能参加现场审核的，应有最高管理层的其他成</w:t>
      </w:r>
      <w:r>
        <w:rPr>
          <w:color w:val="auto"/>
          <w:spacing w:val="-4"/>
          <w:sz w:val="24"/>
          <w:szCs w:val="24"/>
        </w:rPr>
        <w:t>员参加审核，涉及总经理的审核内容，应通过电话</w:t>
      </w:r>
      <w:r>
        <w:rPr>
          <w:color w:val="auto"/>
          <w:spacing w:val="-3"/>
          <w:sz w:val="24"/>
          <w:szCs w:val="24"/>
        </w:rPr>
        <w:t>/</w:t>
      </w:r>
      <w:r>
        <w:rPr>
          <w:color w:val="auto"/>
          <w:spacing w:val="-4"/>
          <w:sz w:val="24"/>
          <w:szCs w:val="24"/>
        </w:rPr>
        <w:t>网络方式审核或由经授权的人员接受审核，管理者代</w:t>
      </w:r>
      <w:r>
        <w:rPr>
          <w:color w:val="auto"/>
          <w:spacing w:val="-3"/>
          <w:sz w:val="24"/>
          <w:szCs w:val="24"/>
        </w:rPr>
        <w:t>表必须参加现场审核</w:t>
      </w:r>
      <w:r>
        <w:rPr>
          <w:color w:val="auto"/>
          <w:spacing w:val="-106"/>
          <w:sz w:val="24"/>
          <w:szCs w:val="24"/>
        </w:rPr>
        <w:t>）</w:t>
      </w:r>
      <w:r>
        <w:rPr>
          <w:color w:val="auto"/>
          <w:spacing w:val="-3"/>
          <w:sz w:val="24"/>
          <w:szCs w:val="24"/>
        </w:rPr>
        <w:t>，是否对审核作出必要的安排及配合。</w:t>
      </w:r>
    </w:p>
    <w:p w14:paraId="7C7FDD84">
      <w:pPr>
        <w:spacing w:line="360" w:lineRule="auto"/>
        <w:ind w:firstLine="480" w:firstLineChars="200"/>
        <w:rPr>
          <w:color w:val="auto"/>
          <w:sz w:val="24"/>
          <w:szCs w:val="24"/>
        </w:rPr>
      </w:pPr>
      <w:r>
        <w:rPr>
          <w:color w:val="auto"/>
          <w:sz w:val="24"/>
          <w:szCs w:val="24"/>
        </w:rPr>
        <w:t>如达不到以上现场审核条件，审核组长应于当日及时报告审核部，由审核部负责处理，可采取推迟审核、缩小范围等方式。</w:t>
      </w:r>
    </w:p>
    <w:p w14:paraId="209AFA8D">
      <w:pPr>
        <w:spacing w:line="393" w:lineRule="auto"/>
        <w:rPr>
          <w:color w:val="auto"/>
        </w:rPr>
      </w:pPr>
    </w:p>
    <w:p w14:paraId="075EE46C">
      <w:pPr>
        <w:spacing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02 条 文件审核</w:t>
      </w:r>
    </w:p>
    <w:p w14:paraId="069B08DC">
      <w:pPr>
        <w:pStyle w:val="5"/>
        <w:spacing w:before="9"/>
        <w:rPr>
          <w:b/>
          <w:color w:val="auto"/>
          <w:sz w:val="24"/>
          <w:szCs w:val="24"/>
        </w:rPr>
      </w:pPr>
    </w:p>
    <w:p w14:paraId="73FC7D25">
      <w:pPr>
        <w:pStyle w:val="5"/>
        <w:spacing w:line="360" w:lineRule="auto"/>
        <w:ind w:left="112" w:right="409" w:firstLine="460" w:firstLineChars="200"/>
        <w:jc w:val="both"/>
        <w:rPr>
          <w:color w:val="auto"/>
          <w:sz w:val="24"/>
          <w:szCs w:val="24"/>
        </w:rPr>
      </w:pPr>
      <w:r>
        <w:rPr>
          <w:color w:val="auto"/>
          <w:spacing w:val="-5"/>
          <w:sz w:val="24"/>
          <w:szCs w:val="24"/>
        </w:rPr>
        <w:t>初审、再认证、扩大、转换监督、企业文件换版、标准转版，必须进行文件评审。文件评审由审核组</w:t>
      </w:r>
      <w:r>
        <w:rPr>
          <w:color w:val="auto"/>
          <w:spacing w:val="-9"/>
          <w:sz w:val="24"/>
          <w:szCs w:val="24"/>
        </w:rPr>
        <w:t>长实施，并填写 《审核报告》，以确定企业建立的管理手册与审核标准、审核任务书信息及企业适用法</w:t>
      </w:r>
      <w:r>
        <w:rPr>
          <w:color w:val="auto"/>
          <w:spacing w:val="-3"/>
          <w:sz w:val="24"/>
          <w:szCs w:val="24"/>
        </w:rPr>
        <w:t>律法规要求的符合性。包括但不限于以下内容：</w:t>
      </w:r>
    </w:p>
    <w:p w14:paraId="6CFD7D04">
      <w:pPr>
        <w:pStyle w:val="5"/>
        <w:spacing w:line="360" w:lineRule="auto"/>
        <w:ind w:firstLine="480" w:firstLineChars="200"/>
        <w:jc w:val="both"/>
        <w:rPr>
          <w:color w:val="auto"/>
          <w:sz w:val="24"/>
          <w:szCs w:val="24"/>
        </w:rPr>
      </w:pPr>
      <w:r>
        <w:rPr>
          <w:color w:val="auto"/>
          <w:sz w:val="24"/>
          <w:szCs w:val="24"/>
        </w:rPr>
        <w:t>1、 管理手册发布实施时间，确认体系运行是否满足 3 个月；</w:t>
      </w:r>
    </w:p>
    <w:p w14:paraId="79074ADF">
      <w:pPr>
        <w:pStyle w:val="5"/>
        <w:spacing w:before="173" w:line="360" w:lineRule="auto"/>
        <w:ind w:firstLine="480" w:firstLineChars="200"/>
        <w:rPr>
          <w:color w:val="auto"/>
          <w:sz w:val="24"/>
          <w:szCs w:val="24"/>
        </w:rPr>
      </w:pPr>
      <w:r>
        <w:rPr>
          <w:color w:val="auto"/>
          <w:sz w:val="24"/>
          <w:szCs w:val="24"/>
        </w:rPr>
        <w:t>2、 确认管理手册和程序文件是否符合标准要求；</w:t>
      </w:r>
    </w:p>
    <w:p w14:paraId="03F902B3">
      <w:pPr>
        <w:pStyle w:val="5"/>
        <w:spacing w:before="170" w:line="360" w:lineRule="auto"/>
        <w:ind w:right="306" w:firstLine="468" w:firstLineChars="200"/>
        <w:rPr>
          <w:color w:val="auto"/>
          <w:sz w:val="24"/>
          <w:szCs w:val="24"/>
        </w:rPr>
      </w:pPr>
      <w:r>
        <w:rPr>
          <w:color w:val="auto"/>
          <w:spacing w:val="-3"/>
          <w:sz w:val="24"/>
          <w:szCs w:val="24"/>
        </w:rPr>
        <w:t>3</w:t>
      </w:r>
      <w:r>
        <w:rPr>
          <w:color w:val="auto"/>
          <w:spacing w:val="-9"/>
          <w:sz w:val="24"/>
          <w:szCs w:val="24"/>
        </w:rPr>
        <w:t>、 确认管理手册和程序文件与申请信息的符合性；管理手册描述的企业介绍、适用范围、条款删减</w:t>
      </w:r>
      <w:r>
        <w:rPr>
          <w:color w:val="auto"/>
          <w:sz w:val="24"/>
          <w:szCs w:val="24"/>
        </w:rPr>
        <w:t>（适用时</w:t>
      </w:r>
      <w:r>
        <w:rPr>
          <w:color w:val="auto"/>
          <w:spacing w:val="-108"/>
          <w:sz w:val="24"/>
          <w:szCs w:val="24"/>
        </w:rPr>
        <w:t>）</w:t>
      </w:r>
      <w:r>
        <w:rPr>
          <w:color w:val="auto"/>
          <w:spacing w:val="-3"/>
          <w:sz w:val="24"/>
          <w:szCs w:val="24"/>
        </w:rPr>
        <w:t>、管理方针、目标、组织结构、职责权限、产品</w:t>
      </w:r>
      <w:r>
        <w:rPr>
          <w:color w:val="auto"/>
          <w:sz w:val="24"/>
          <w:szCs w:val="24"/>
        </w:rPr>
        <w:t>/</w:t>
      </w:r>
      <w:r>
        <w:rPr>
          <w:color w:val="auto"/>
          <w:spacing w:val="-3"/>
          <w:sz w:val="24"/>
          <w:szCs w:val="24"/>
        </w:rPr>
        <w:t>服务的生产/服务过程；</w:t>
      </w:r>
    </w:p>
    <w:p w14:paraId="5A69A504">
      <w:pPr>
        <w:pStyle w:val="5"/>
        <w:spacing w:before="4" w:line="360" w:lineRule="auto"/>
        <w:ind w:firstLine="480" w:firstLineChars="200"/>
        <w:rPr>
          <w:color w:val="auto"/>
          <w:sz w:val="24"/>
          <w:szCs w:val="24"/>
        </w:rPr>
      </w:pPr>
      <w:r>
        <w:rPr>
          <w:color w:val="auto"/>
          <w:sz w:val="24"/>
          <w:szCs w:val="24"/>
        </w:rPr>
        <w:t>4、 内部审核或管理评审过程；</w:t>
      </w:r>
    </w:p>
    <w:p w14:paraId="5BF345A0">
      <w:pPr>
        <w:pStyle w:val="5"/>
        <w:spacing w:before="4" w:line="360" w:lineRule="auto"/>
        <w:ind w:firstLine="480" w:firstLineChars="200"/>
        <w:rPr>
          <w:color w:val="auto"/>
          <w:sz w:val="24"/>
          <w:szCs w:val="24"/>
        </w:rPr>
      </w:pPr>
      <w:r>
        <w:rPr>
          <w:color w:val="auto"/>
          <w:sz w:val="24"/>
          <w:szCs w:val="24"/>
        </w:rPr>
        <w:t>5、 涉及质量管理体系还应审核设计开发过程（适用时）,生产/服务过程中所识别的关键过程、特殊过程,外包过程及检验过程；</w:t>
      </w:r>
    </w:p>
    <w:p w14:paraId="4E6D6D0B">
      <w:pPr>
        <w:pStyle w:val="5"/>
        <w:spacing w:before="4" w:line="360" w:lineRule="auto"/>
        <w:ind w:firstLine="480" w:firstLineChars="200"/>
        <w:rPr>
          <w:color w:val="auto"/>
          <w:sz w:val="24"/>
          <w:szCs w:val="24"/>
        </w:rPr>
      </w:pPr>
      <w:r>
        <w:rPr>
          <w:color w:val="auto"/>
          <w:sz w:val="24"/>
          <w:szCs w:val="24"/>
        </w:rPr>
        <w:t>6、 涉及环境/职业健康安全管理体系还应包括以下内容：</w:t>
      </w:r>
    </w:p>
    <w:p w14:paraId="105584E7">
      <w:pPr>
        <w:pStyle w:val="5"/>
        <w:spacing w:before="170" w:line="360" w:lineRule="auto"/>
        <w:ind w:left="850" w:firstLine="480" w:firstLineChars="200"/>
        <w:rPr>
          <w:color w:val="auto"/>
          <w:sz w:val="24"/>
          <w:szCs w:val="24"/>
        </w:rPr>
      </w:pPr>
      <w:r>
        <w:rPr>
          <w:color w:val="auto"/>
          <w:sz w:val="24"/>
          <w:szCs w:val="24"/>
        </w:rPr>
        <w:t>1）.审核环境因素/危险源识别，重要环境因素/不可接受风险评价的规定；</w:t>
      </w:r>
    </w:p>
    <w:p w14:paraId="76438A60">
      <w:pPr>
        <w:pStyle w:val="5"/>
        <w:spacing w:before="170" w:line="360" w:lineRule="auto"/>
        <w:ind w:left="850" w:firstLine="480" w:firstLineChars="200"/>
        <w:rPr>
          <w:color w:val="auto"/>
          <w:sz w:val="20"/>
        </w:rPr>
      </w:pPr>
      <w:r>
        <w:rPr>
          <w:color w:val="auto"/>
          <w:sz w:val="24"/>
          <w:szCs w:val="24"/>
        </w:rPr>
        <w:t>2). 企业针对获取和更新适用法规的职责、权限、时机、方法和频次制度规定</w:t>
      </w:r>
      <w:r>
        <w:rPr>
          <w:rFonts w:hint="eastAsia"/>
          <w:color w:val="auto"/>
          <w:sz w:val="24"/>
          <w:szCs w:val="24"/>
        </w:rPr>
        <w:t>。</w:t>
      </w:r>
    </w:p>
    <w:p w14:paraId="359A571B">
      <w:pPr>
        <w:pStyle w:val="5"/>
        <w:spacing w:before="5"/>
        <w:rPr>
          <w:color w:val="auto"/>
          <w:sz w:val="18"/>
        </w:rPr>
      </w:pPr>
    </w:p>
    <w:p w14:paraId="167398E5">
      <w:pPr>
        <w:spacing w:before="1"/>
        <w:ind w:left="113" w:firstLine="480" w:firstLineChars="200"/>
        <w:rPr>
          <w:rFonts w:ascii="黑体" w:hAnsi="黑体" w:eastAsia="黑体"/>
          <w:bCs/>
          <w:color w:val="auto"/>
          <w:sz w:val="24"/>
          <w:szCs w:val="24"/>
        </w:rPr>
      </w:pPr>
      <w:r>
        <w:rPr>
          <w:rFonts w:ascii="黑体" w:hAnsi="黑体" w:eastAsia="黑体"/>
          <w:bCs/>
          <w:color w:val="auto"/>
          <w:sz w:val="24"/>
          <w:szCs w:val="24"/>
        </w:rPr>
        <w:t>第 03 条 审核计划</w:t>
      </w:r>
    </w:p>
    <w:p w14:paraId="1BD7CEFA">
      <w:pPr>
        <w:pStyle w:val="5"/>
        <w:spacing w:before="1"/>
        <w:rPr>
          <w:b/>
          <w:color w:val="auto"/>
          <w:sz w:val="27"/>
        </w:rPr>
      </w:pPr>
    </w:p>
    <w:p w14:paraId="695B778C">
      <w:pPr>
        <w:pStyle w:val="5"/>
        <w:spacing w:line="360" w:lineRule="auto"/>
        <w:ind w:left="112" w:right="409" w:firstLine="480" w:firstLineChars="200"/>
        <w:jc w:val="both"/>
        <w:rPr>
          <w:color w:val="auto"/>
          <w:sz w:val="24"/>
          <w:szCs w:val="24"/>
        </w:rPr>
      </w:pPr>
      <w:r>
        <w:rPr>
          <w:color w:val="auto"/>
          <w:sz w:val="24"/>
          <w:szCs w:val="24"/>
        </w:rPr>
        <w:t>1、 审核计划编制要求审核计划由组长负责编制，如果组长不是该专业的专业审核员，应与专业审核</w:t>
      </w:r>
      <w:r>
        <w:rPr>
          <w:color w:val="auto"/>
          <w:spacing w:val="-4"/>
          <w:sz w:val="24"/>
          <w:szCs w:val="24"/>
        </w:rPr>
        <w:t>员沟通。主要依据企业管理手册、程序文件描述的组织结构、职责权限、生产</w:t>
      </w:r>
      <w:r>
        <w:rPr>
          <w:color w:val="auto"/>
          <w:sz w:val="24"/>
          <w:szCs w:val="24"/>
        </w:rPr>
        <w:t>/</w:t>
      </w:r>
      <w:r>
        <w:rPr>
          <w:color w:val="auto"/>
          <w:spacing w:val="-3"/>
          <w:sz w:val="24"/>
          <w:szCs w:val="24"/>
        </w:rPr>
        <w:t>服务提供过程、并考虑产品/服务的特点、审核任务书提供信息进行编制。</w:t>
      </w:r>
    </w:p>
    <w:p w14:paraId="30261B19">
      <w:pPr>
        <w:pStyle w:val="5"/>
        <w:spacing w:line="360" w:lineRule="auto"/>
        <w:ind w:left="112" w:right="409" w:firstLine="480" w:firstLineChars="200"/>
        <w:jc w:val="both"/>
        <w:rPr>
          <w:color w:val="auto"/>
          <w:sz w:val="24"/>
          <w:szCs w:val="24"/>
        </w:rPr>
      </w:pPr>
      <w:r>
        <w:rPr>
          <w:color w:val="auto"/>
          <w:sz w:val="24"/>
          <w:szCs w:val="24"/>
        </w:rPr>
        <w:t>1). 杜绝遗漏过程或条款。审核日程计划应特别关注组织安装现场、多现场的审核。</w:t>
      </w:r>
    </w:p>
    <w:p w14:paraId="2264626B">
      <w:pPr>
        <w:pStyle w:val="5"/>
        <w:spacing w:before="170" w:line="360" w:lineRule="auto"/>
        <w:ind w:left="112" w:right="306" w:firstLine="480" w:firstLineChars="200"/>
        <w:jc w:val="both"/>
        <w:rPr>
          <w:color w:val="auto"/>
          <w:spacing w:val="-6"/>
          <w:sz w:val="24"/>
          <w:szCs w:val="24"/>
        </w:rPr>
      </w:pPr>
      <w:r>
        <w:rPr>
          <w:color w:val="auto"/>
          <w:sz w:val="24"/>
          <w:szCs w:val="24"/>
        </w:rPr>
        <w:t>2）.审核计划日程安排应按照审核任务书规定的审核人日和审核日期进行编制，有效的管理体系认</w:t>
      </w:r>
      <w:r>
        <w:rPr>
          <w:color w:val="auto"/>
          <w:spacing w:val="4"/>
          <w:sz w:val="24"/>
          <w:szCs w:val="24"/>
        </w:rPr>
        <w:t xml:space="preserve">证审核时间以每天 </w:t>
      </w:r>
      <w:r>
        <w:rPr>
          <w:color w:val="auto"/>
          <w:sz w:val="24"/>
          <w:szCs w:val="24"/>
        </w:rPr>
        <w:t>8 小时为基础计算，不含旅途时间或午餐时间，审核计划应明确午餐所需时间，不可</w:t>
      </w:r>
      <w:r>
        <w:rPr>
          <w:color w:val="auto"/>
          <w:spacing w:val="-5"/>
          <w:sz w:val="24"/>
          <w:szCs w:val="24"/>
        </w:rPr>
        <w:t>通过增加每个工作日的工作小时数来减少实际审核人天，审核计划中需明确往返多场所路途时间，实习审</w:t>
      </w:r>
      <w:r>
        <w:rPr>
          <w:color w:val="auto"/>
          <w:spacing w:val="-6"/>
          <w:sz w:val="24"/>
          <w:szCs w:val="24"/>
        </w:rPr>
        <w:t>核员不允许单独承担审核任务，审核组长需安排一名具有注册级别及以上的审核员与实习审核员一组，实习人员要在审核员的指导下参与审核并做审核记录，实习审核员不计入审核时间</w:t>
      </w:r>
      <w:r>
        <w:rPr>
          <w:rFonts w:hint="eastAsia"/>
          <w:color w:val="auto"/>
          <w:spacing w:val="-6"/>
          <w:sz w:val="24"/>
          <w:szCs w:val="24"/>
        </w:rPr>
        <w:t>。</w:t>
      </w:r>
    </w:p>
    <w:p w14:paraId="73D98FCA">
      <w:pPr>
        <w:pStyle w:val="5"/>
        <w:spacing w:before="173" w:line="360" w:lineRule="auto"/>
        <w:ind w:left="112" w:right="2174" w:firstLine="468" w:firstLineChars="200"/>
        <w:rPr>
          <w:rFonts w:hint="eastAsia"/>
          <w:color w:val="auto"/>
          <w:sz w:val="24"/>
          <w:szCs w:val="24"/>
        </w:rPr>
      </w:pPr>
      <w:r>
        <w:rPr>
          <w:color w:val="auto"/>
          <w:spacing w:val="-3"/>
          <w:sz w:val="24"/>
          <w:szCs w:val="24"/>
        </w:rPr>
        <w:t>2、 审核计划发送:</w:t>
      </w:r>
    </w:p>
    <w:p w14:paraId="4BBC18D1">
      <w:pPr>
        <w:pStyle w:val="21"/>
        <w:numPr>
          <w:ilvl w:val="0"/>
          <w:numId w:val="1"/>
        </w:numPr>
        <w:tabs>
          <w:tab w:val="left" w:pos="748"/>
        </w:tabs>
        <w:spacing w:before="1" w:line="360" w:lineRule="auto"/>
        <w:ind w:right="390" w:firstLine="460" w:firstLineChars="200"/>
        <w:rPr>
          <w:color w:val="auto"/>
          <w:sz w:val="24"/>
          <w:szCs w:val="24"/>
        </w:rPr>
      </w:pPr>
      <w:r>
        <w:rPr>
          <w:color w:val="auto"/>
          <w:spacing w:val="-5"/>
          <w:sz w:val="24"/>
          <w:szCs w:val="24"/>
        </w:rPr>
        <w:t>审核组长需于审核开始前三天</w:t>
      </w:r>
      <w:r>
        <w:rPr>
          <w:color w:val="auto"/>
          <w:sz w:val="24"/>
          <w:szCs w:val="24"/>
        </w:rPr>
        <w:t>（</w:t>
      </w:r>
      <w:r>
        <w:rPr>
          <w:color w:val="auto"/>
          <w:spacing w:val="-3"/>
          <w:sz w:val="24"/>
          <w:szCs w:val="24"/>
        </w:rPr>
        <w:t>包括现场和非现场</w:t>
      </w:r>
      <w:r>
        <w:rPr>
          <w:color w:val="auto"/>
          <w:spacing w:val="-27"/>
          <w:sz w:val="24"/>
          <w:szCs w:val="24"/>
        </w:rPr>
        <w:t>）</w:t>
      </w:r>
      <w:r>
        <w:rPr>
          <w:color w:val="auto"/>
          <w:spacing w:val="-5"/>
          <w:sz w:val="24"/>
          <w:szCs w:val="24"/>
        </w:rPr>
        <w:t>向企业发送《 审 核 计 划 》,并与企业代表</w:t>
      </w:r>
      <w:r>
        <w:rPr>
          <w:color w:val="auto"/>
          <w:spacing w:val="-4"/>
          <w:sz w:val="24"/>
          <w:szCs w:val="24"/>
        </w:rPr>
        <w:t>协商沟通达成一致，确认审核日程安排、作息时间、交通方式等；</w:t>
      </w:r>
    </w:p>
    <w:p w14:paraId="1F15388A">
      <w:pPr>
        <w:pStyle w:val="5"/>
        <w:spacing w:before="170" w:line="360" w:lineRule="auto"/>
        <w:ind w:left="112" w:right="306" w:firstLine="468" w:firstLineChars="200"/>
        <w:jc w:val="both"/>
        <w:rPr>
          <w:color w:val="auto"/>
          <w:spacing w:val="-3"/>
          <w:sz w:val="24"/>
          <w:szCs w:val="24"/>
        </w:rPr>
      </w:pPr>
      <w:r>
        <w:rPr>
          <w:color w:val="auto"/>
          <w:spacing w:val="-3"/>
          <w:sz w:val="24"/>
          <w:szCs w:val="24"/>
        </w:rPr>
        <w:t>如果企业对审核计划提出不同意见且无法达成一致意见时，审核组长应于当日</w:t>
      </w:r>
      <w:r>
        <w:rPr>
          <w:rFonts w:hint="eastAsia"/>
          <w:color w:val="auto"/>
          <w:spacing w:val="-3"/>
          <w:sz w:val="24"/>
          <w:szCs w:val="24"/>
        </w:rPr>
        <w:t>立即向审</w:t>
      </w:r>
    </w:p>
    <w:p w14:paraId="413A7B6A">
      <w:pPr>
        <w:pStyle w:val="5"/>
        <w:spacing w:before="170" w:line="360" w:lineRule="auto"/>
        <w:ind w:left="112" w:right="306" w:firstLine="468" w:firstLineChars="200"/>
        <w:jc w:val="both"/>
        <w:rPr>
          <w:color w:val="auto"/>
          <w:spacing w:val="-3"/>
          <w:sz w:val="24"/>
          <w:szCs w:val="24"/>
        </w:rPr>
      </w:pPr>
      <w:r>
        <w:rPr>
          <w:rFonts w:hint="eastAsia"/>
          <w:color w:val="auto"/>
          <w:spacing w:val="-3"/>
          <w:sz w:val="24"/>
          <w:szCs w:val="24"/>
        </w:rPr>
        <w:t>核部报告。</w:t>
      </w:r>
    </w:p>
    <w:p w14:paraId="249F4667">
      <w:pPr>
        <w:pStyle w:val="2"/>
        <w:tabs>
          <w:tab w:val="left" w:pos="5048"/>
        </w:tabs>
        <w:ind w:left="3344"/>
        <w:jc w:val="both"/>
        <w:rPr>
          <w:rFonts w:ascii="华文中宋" w:hAnsi="华文中宋" w:eastAsia="华文中宋"/>
          <w:color w:val="auto"/>
          <w:sz w:val="36"/>
          <w:szCs w:val="36"/>
        </w:rPr>
      </w:pPr>
      <w:r>
        <w:rPr>
          <w:rFonts w:ascii="华文中宋" w:hAnsi="华文中宋" w:eastAsia="华文中宋"/>
          <w:color w:val="auto"/>
          <w:sz w:val="36"/>
          <w:szCs w:val="36"/>
        </w:rPr>
        <w:t>第四章</w:t>
      </w:r>
      <w:r>
        <w:rPr>
          <w:rFonts w:ascii="华文中宋" w:hAnsi="华文中宋" w:eastAsia="华文中宋"/>
          <w:color w:val="auto"/>
          <w:sz w:val="36"/>
          <w:szCs w:val="36"/>
        </w:rPr>
        <w:tab/>
      </w:r>
      <w:r>
        <w:rPr>
          <w:rFonts w:ascii="华文中宋" w:hAnsi="华文中宋" w:eastAsia="华文中宋"/>
          <w:color w:val="auto"/>
          <w:sz w:val="36"/>
          <w:szCs w:val="36"/>
        </w:rPr>
        <w:t>审核实施</w:t>
      </w:r>
    </w:p>
    <w:p w14:paraId="3315EAC1">
      <w:pPr>
        <w:pStyle w:val="5"/>
        <w:rPr>
          <w:b/>
          <w:color w:val="auto"/>
          <w:sz w:val="20"/>
        </w:rPr>
      </w:pPr>
    </w:p>
    <w:p w14:paraId="044D9663">
      <w:pPr>
        <w:pStyle w:val="5"/>
        <w:spacing w:before="10"/>
        <w:rPr>
          <w:b/>
          <w:color w:val="auto"/>
          <w:sz w:val="17"/>
        </w:rPr>
      </w:pPr>
    </w:p>
    <w:p w14:paraId="26DF8954">
      <w:pPr>
        <w:spacing w:before="1"/>
        <w:ind w:firstLine="480" w:firstLineChars="200"/>
        <w:rPr>
          <w:rFonts w:ascii="黑体" w:hAnsi="黑体" w:eastAsia="黑体"/>
          <w:bCs/>
          <w:color w:val="auto"/>
          <w:sz w:val="24"/>
          <w:szCs w:val="24"/>
        </w:rPr>
      </w:pPr>
      <w:r>
        <w:rPr>
          <w:rFonts w:ascii="黑体" w:hAnsi="黑体" w:eastAsia="黑体"/>
          <w:bCs/>
          <w:color w:val="auto"/>
          <w:sz w:val="24"/>
          <w:szCs w:val="24"/>
        </w:rPr>
        <w:t>第 01 条 首次会议</w:t>
      </w:r>
    </w:p>
    <w:p w14:paraId="720E4EEC">
      <w:pPr>
        <w:pStyle w:val="5"/>
        <w:spacing w:before="145" w:line="360" w:lineRule="auto"/>
        <w:ind w:right="414" w:firstLine="468" w:firstLineChars="200"/>
        <w:rPr>
          <w:color w:val="auto"/>
          <w:sz w:val="24"/>
          <w:szCs w:val="24"/>
        </w:rPr>
      </w:pPr>
      <w:r>
        <w:rPr>
          <w:color w:val="auto"/>
          <w:spacing w:val="-3"/>
          <w:sz w:val="24"/>
          <w:szCs w:val="24"/>
        </w:rPr>
        <w:t>1</w:t>
      </w:r>
      <w:r>
        <w:rPr>
          <w:color w:val="auto"/>
          <w:spacing w:val="-8"/>
          <w:sz w:val="24"/>
          <w:szCs w:val="24"/>
        </w:rPr>
        <w:t xml:space="preserve">、审核组长主持首次会议，一般时间为 </w:t>
      </w:r>
      <w:r>
        <w:rPr>
          <w:color w:val="auto"/>
          <w:sz w:val="24"/>
          <w:szCs w:val="24"/>
        </w:rPr>
        <w:t>30</w:t>
      </w:r>
      <w:r>
        <w:rPr>
          <w:color w:val="auto"/>
          <w:spacing w:val="-7"/>
          <w:sz w:val="24"/>
          <w:szCs w:val="24"/>
        </w:rPr>
        <w:t xml:space="preserve"> 分钟。 首次会议参加人员：审核组成员、最高管理者、</w:t>
      </w:r>
      <w:r>
        <w:rPr>
          <w:color w:val="auto"/>
          <w:spacing w:val="-5"/>
          <w:sz w:val="24"/>
          <w:szCs w:val="24"/>
        </w:rPr>
        <w:t>管理者代表、主要部门负责人。</w:t>
      </w:r>
    </w:p>
    <w:p w14:paraId="3E9CF3B2">
      <w:pPr>
        <w:pStyle w:val="5"/>
        <w:spacing w:before="52" w:line="360" w:lineRule="auto"/>
        <w:ind w:firstLine="480" w:firstLineChars="200"/>
        <w:rPr>
          <w:color w:val="auto"/>
          <w:sz w:val="24"/>
          <w:szCs w:val="24"/>
        </w:rPr>
      </w:pPr>
      <w:r>
        <w:rPr>
          <w:color w:val="auto"/>
          <w:sz w:val="24"/>
          <w:szCs w:val="24"/>
        </w:rPr>
        <w:t>2、首次会议应签到，签到表使用 《首次会议签到表》，</w:t>
      </w:r>
    </w:p>
    <w:p w14:paraId="5D25496E">
      <w:pPr>
        <w:pStyle w:val="5"/>
        <w:spacing w:before="52" w:line="360" w:lineRule="auto"/>
        <w:ind w:firstLine="480" w:firstLineChars="200"/>
        <w:rPr>
          <w:color w:val="auto"/>
          <w:sz w:val="24"/>
          <w:szCs w:val="24"/>
        </w:rPr>
      </w:pPr>
      <w:r>
        <w:rPr>
          <w:color w:val="auto"/>
          <w:sz w:val="24"/>
          <w:szCs w:val="24"/>
        </w:rPr>
        <w:t>3、 首次会议内容：</w:t>
      </w:r>
    </w:p>
    <w:p w14:paraId="69C9CF5E">
      <w:pPr>
        <w:pStyle w:val="5"/>
        <w:spacing w:before="117" w:line="360" w:lineRule="auto"/>
        <w:ind w:firstLine="960" w:firstLineChars="400"/>
        <w:rPr>
          <w:color w:val="auto"/>
          <w:sz w:val="24"/>
          <w:szCs w:val="24"/>
        </w:rPr>
      </w:pPr>
      <w:r>
        <w:rPr>
          <w:color w:val="auto"/>
          <w:sz w:val="24"/>
          <w:szCs w:val="24"/>
        </w:rPr>
        <w:t>1</w:t>
      </w:r>
      <w:r>
        <w:rPr>
          <w:rFonts w:hint="eastAsia"/>
          <w:color w:val="auto"/>
          <w:sz w:val="24"/>
          <w:szCs w:val="24"/>
        </w:rPr>
        <w:t>）.</w:t>
      </w:r>
      <w:r>
        <w:rPr>
          <w:color w:val="auto"/>
          <w:sz w:val="24"/>
          <w:szCs w:val="24"/>
        </w:rPr>
        <w:t>双方介绍与会人员职务或资格,审核组长介绍认证机构概况；</w:t>
      </w:r>
    </w:p>
    <w:p w14:paraId="6D825023">
      <w:pPr>
        <w:pStyle w:val="5"/>
        <w:spacing w:before="117" w:line="360" w:lineRule="auto"/>
        <w:ind w:firstLine="960" w:firstLineChars="400"/>
        <w:rPr>
          <w:color w:val="auto"/>
          <w:sz w:val="24"/>
          <w:szCs w:val="24"/>
        </w:rPr>
      </w:pPr>
      <w:r>
        <w:rPr>
          <w:rFonts w:hint="eastAsia"/>
          <w:color w:val="auto"/>
          <w:sz w:val="24"/>
          <w:szCs w:val="24"/>
        </w:rPr>
        <w:t>2）.就本次</w:t>
      </w:r>
      <w:r>
        <w:rPr>
          <w:color w:val="auto"/>
          <w:sz w:val="24"/>
          <w:szCs w:val="24"/>
        </w:rPr>
        <w:t>的审核</w:t>
      </w:r>
      <w:r>
        <w:rPr>
          <w:rFonts w:hint="eastAsia"/>
          <w:color w:val="auto"/>
          <w:sz w:val="24"/>
          <w:szCs w:val="24"/>
        </w:rPr>
        <w:t>信息</w:t>
      </w:r>
      <w:r>
        <w:rPr>
          <w:color w:val="auto"/>
          <w:sz w:val="24"/>
          <w:szCs w:val="24"/>
        </w:rPr>
        <w:t>确认，其审核过程中的活动由审核组中的审核员承担责任。</w:t>
      </w:r>
    </w:p>
    <w:p w14:paraId="36EFC103">
      <w:pPr>
        <w:tabs>
          <w:tab w:val="left" w:pos="852"/>
        </w:tabs>
        <w:spacing w:before="171" w:line="360" w:lineRule="auto"/>
        <w:ind w:right="390" w:firstLine="960" w:firstLineChars="400"/>
        <w:rPr>
          <w:color w:val="auto"/>
          <w:sz w:val="24"/>
          <w:szCs w:val="24"/>
        </w:rPr>
      </w:pPr>
      <w:r>
        <w:rPr>
          <w:color w:val="auto"/>
          <w:sz w:val="24"/>
          <w:szCs w:val="24"/>
        </w:rPr>
        <w:t>3</w:t>
      </w:r>
      <w:r>
        <w:rPr>
          <w:rFonts w:hint="eastAsia"/>
          <w:color w:val="auto"/>
          <w:sz w:val="24"/>
          <w:szCs w:val="24"/>
        </w:rPr>
        <w:t>）.</w:t>
      </w:r>
      <w:r>
        <w:rPr>
          <w:color w:val="auto"/>
          <w:spacing w:val="-3"/>
          <w:sz w:val="24"/>
          <w:szCs w:val="24"/>
        </w:rPr>
        <w:t>技术专家主要负责提供认证审核的技术支持，不作为审核员实施审核，不计入审核时间，其在审核过程中的活动由审核组中的审核员承担责任。</w:t>
      </w:r>
    </w:p>
    <w:p w14:paraId="38EE2FE0">
      <w:pPr>
        <w:tabs>
          <w:tab w:val="left" w:pos="852"/>
        </w:tabs>
        <w:spacing w:line="360" w:lineRule="auto"/>
        <w:ind w:right="388" w:firstLine="960" w:firstLineChars="400"/>
        <w:jc w:val="both"/>
        <w:rPr>
          <w:color w:val="auto"/>
          <w:sz w:val="24"/>
          <w:szCs w:val="24"/>
        </w:rPr>
      </w:pPr>
      <w:r>
        <w:rPr>
          <w:color w:val="auto"/>
          <w:sz w:val="24"/>
          <w:szCs w:val="24"/>
        </w:rPr>
        <w:t>4</w:t>
      </w:r>
      <w:r>
        <w:rPr>
          <w:rFonts w:hint="eastAsia"/>
          <w:color w:val="auto"/>
          <w:sz w:val="24"/>
          <w:szCs w:val="24"/>
        </w:rPr>
        <w:t>）.</w:t>
      </w:r>
      <w:r>
        <w:rPr>
          <w:color w:val="auto"/>
          <w:spacing w:val="-3"/>
          <w:sz w:val="24"/>
          <w:szCs w:val="24"/>
        </w:rPr>
        <w:t>确保有专业能力的审核员或技术专家参加有专业特点活动的审核，如设计和开发过程、生产和服</w:t>
      </w:r>
      <w:r>
        <w:rPr>
          <w:color w:val="auto"/>
          <w:spacing w:val="-10"/>
          <w:sz w:val="24"/>
          <w:szCs w:val="24"/>
        </w:rPr>
        <w:t>务提供过程、产品的监视和测量过程及设计部门、生产车间、检验部门、环境管理、安全管理等具有专业</w:t>
      </w:r>
      <w:r>
        <w:rPr>
          <w:color w:val="auto"/>
          <w:spacing w:val="-13"/>
          <w:sz w:val="24"/>
          <w:szCs w:val="24"/>
        </w:rPr>
        <w:t>特点的过程和部门，以及存在重要环境因素或不可接受风险的部门或场所。其他人员的搭配应考虑专业和</w:t>
      </w:r>
      <w:r>
        <w:rPr>
          <w:color w:val="auto"/>
          <w:spacing w:val="-14"/>
          <w:sz w:val="24"/>
          <w:szCs w:val="24"/>
        </w:rPr>
        <w:t>经验。当存在多范围、多代码、需不同专业审核员分别审核时，应在审核计划中明确各专业审核员所负责</w:t>
      </w:r>
      <w:r>
        <w:rPr>
          <w:color w:val="auto"/>
          <w:spacing w:val="-7"/>
          <w:sz w:val="24"/>
          <w:szCs w:val="24"/>
        </w:rPr>
        <w:t>的审核范围。</w:t>
      </w:r>
    </w:p>
    <w:p w14:paraId="1835C2CF">
      <w:pPr>
        <w:tabs>
          <w:tab w:val="left" w:pos="748"/>
        </w:tabs>
        <w:spacing w:line="360" w:lineRule="auto"/>
        <w:ind w:right="390" w:firstLine="960" w:firstLineChars="400"/>
        <w:rPr>
          <w:color w:val="auto"/>
          <w:sz w:val="24"/>
          <w:szCs w:val="24"/>
        </w:rPr>
      </w:pPr>
    </w:p>
    <w:p w14:paraId="73091C65">
      <w:pPr>
        <w:tabs>
          <w:tab w:val="left" w:pos="748"/>
        </w:tabs>
        <w:spacing w:line="360" w:lineRule="auto"/>
        <w:ind w:right="390" w:firstLine="960" w:firstLineChars="400"/>
        <w:rPr>
          <w:color w:val="auto"/>
          <w:sz w:val="24"/>
          <w:szCs w:val="24"/>
        </w:rPr>
      </w:pPr>
      <w:r>
        <w:rPr>
          <w:color w:val="auto"/>
          <w:sz w:val="24"/>
          <w:szCs w:val="24"/>
        </w:rPr>
        <w:t>5</w:t>
      </w:r>
      <w:r>
        <w:rPr>
          <w:rFonts w:hint="eastAsia"/>
          <w:color w:val="auto"/>
          <w:sz w:val="24"/>
          <w:szCs w:val="24"/>
        </w:rPr>
        <w:t>）.</w:t>
      </w:r>
      <w:r>
        <w:rPr>
          <w:color w:val="auto"/>
          <w:spacing w:val="-8"/>
          <w:sz w:val="24"/>
          <w:szCs w:val="24"/>
        </w:rPr>
        <w:t>监督审核须验证上次审核所开具不符合项、投诉处理的情况；证书及标志的使用情况；变更的情况</w:t>
      </w:r>
      <w:r>
        <w:rPr>
          <w:color w:val="auto"/>
          <w:spacing w:val="-5"/>
          <w:sz w:val="24"/>
          <w:szCs w:val="24"/>
        </w:rPr>
        <w:t>等；对非必审条款可进行选择性审核，两次监督审核应覆盖标准条款。</w:t>
      </w:r>
    </w:p>
    <w:p w14:paraId="41EF0CFB">
      <w:pPr>
        <w:tabs>
          <w:tab w:val="left" w:pos="748"/>
        </w:tabs>
        <w:spacing w:line="360" w:lineRule="auto"/>
        <w:ind w:right="306" w:firstLine="960" w:firstLineChars="400"/>
        <w:rPr>
          <w:color w:val="auto"/>
          <w:sz w:val="24"/>
          <w:szCs w:val="24"/>
        </w:rPr>
      </w:pPr>
      <w:r>
        <w:rPr>
          <w:color w:val="auto"/>
          <w:sz w:val="24"/>
          <w:szCs w:val="24"/>
        </w:rPr>
        <w:t>6</w:t>
      </w:r>
      <w:r>
        <w:rPr>
          <w:rFonts w:hint="eastAsia"/>
          <w:color w:val="auto"/>
          <w:sz w:val="24"/>
          <w:szCs w:val="24"/>
        </w:rPr>
        <w:t>）.</w:t>
      </w:r>
      <w:r>
        <w:rPr>
          <w:color w:val="auto"/>
          <w:spacing w:val="-6"/>
          <w:sz w:val="24"/>
          <w:szCs w:val="24"/>
        </w:rPr>
        <w:t>再认证审核计划需覆盖企业全部过程和标准全部条款。同时需包括以下内容：不符合项验证、投诉</w:t>
      </w:r>
      <w:r>
        <w:rPr>
          <w:color w:val="auto"/>
          <w:spacing w:val="-4"/>
          <w:sz w:val="24"/>
          <w:szCs w:val="24"/>
        </w:rPr>
        <w:t>处理的情况；行政监督检查；证书及标志的使用情况；变更的情况等。</w:t>
      </w:r>
    </w:p>
    <w:p w14:paraId="1E049035">
      <w:pPr>
        <w:tabs>
          <w:tab w:val="left" w:pos="748"/>
        </w:tabs>
        <w:spacing w:line="360" w:lineRule="auto"/>
        <w:ind w:right="306" w:firstLine="960" w:firstLineChars="400"/>
        <w:rPr>
          <w:color w:val="auto"/>
          <w:sz w:val="24"/>
          <w:szCs w:val="24"/>
        </w:rPr>
      </w:pPr>
      <w:r>
        <w:rPr>
          <w:color w:val="auto"/>
          <w:sz w:val="24"/>
          <w:szCs w:val="24"/>
        </w:rPr>
        <w:t>7</w:t>
      </w:r>
      <w:r>
        <w:rPr>
          <w:rFonts w:hint="eastAsia"/>
          <w:color w:val="auto"/>
          <w:sz w:val="24"/>
          <w:szCs w:val="24"/>
        </w:rPr>
        <w:t>）.</w:t>
      </w:r>
      <w:r>
        <w:rPr>
          <w:color w:val="auto"/>
          <w:spacing w:val="-3"/>
          <w:sz w:val="24"/>
          <w:szCs w:val="24"/>
        </w:rPr>
        <w:t>扩大范围的审核计划应包括扩大范围所涉及产品的所有过程及条款。</w:t>
      </w:r>
    </w:p>
    <w:p w14:paraId="3DC5494A">
      <w:pPr>
        <w:tabs>
          <w:tab w:val="left" w:pos="748"/>
        </w:tabs>
        <w:spacing w:before="164" w:line="360" w:lineRule="auto"/>
        <w:ind w:right="390" w:firstLine="960" w:firstLineChars="400"/>
        <w:jc w:val="both"/>
        <w:rPr>
          <w:color w:val="auto"/>
          <w:sz w:val="24"/>
          <w:szCs w:val="24"/>
        </w:rPr>
      </w:pPr>
      <w:r>
        <w:rPr>
          <w:color w:val="auto"/>
          <w:sz w:val="24"/>
          <w:szCs w:val="24"/>
        </w:rPr>
        <w:t>8</w:t>
      </w:r>
      <w:r>
        <w:rPr>
          <w:rFonts w:hint="eastAsia"/>
          <w:color w:val="auto"/>
          <w:sz w:val="24"/>
          <w:szCs w:val="24"/>
        </w:rPr>
        <w:t>）.</w:t>
      </w:r>
      <w:r>
        <w:rPr>
          <w:color w:val="auto"/>
          <w:spacing w:val="-3"/>
          <w:sz w:val="24"/>
          <w:szCs w:val="24"/>
        </w:rPr>
        <w:t>制定审核计划时，如涉及多场所，且符合抽样的原则,由审核组长随机选择具有代表意义的抽样地点/项目；固定多场所需显示在审核计划中，涉及临时场所，应将需审核的临时场所地址在相应的过程处予以显示。</w:t>
      </w:r>
    </w:p>
    <w:p w14:paraId="2BE2FC3F">
      <w:pPr>
        <w:tabs>
          <w:tab w:val="left" w:pos="852"/>
        </w:tabs>
        <w:spacing w:line="360" w:lineRule="auto"/>
        <w:ind w:right="388" w:firstLine="960" w:firstLineChars="400"/>
        <w:jc w:val="both"/>
        <w:rPr>
          <w:color w:val="auto"/>
          <w:spacing w:val="-3"/>
          <w:sz w:val="24"/>
          <w:szCs w:val="24"/>
        </w:rPr>
      </w:pPr>
      <w:r>
        <w:rPr>
          <w:color w:val="auto"/>
          <w:sz w:val="24"/>
          <w:szCs w:val="24"/>
        </w:rPr>
        <w:t>9</w:t>
      </w:r>
      <w:r>
        <w:rPr>
          <w:rFonts w:hint="eastAsia"/>
          <w:color w:val="auto"/>
          <w:sz w:val="24"/>
          <w:szCs w:val="24"/>
        </w:rPr>
        <w:t>）.</w:t>
      </w:r>
      <w:r>
        <w:rPr>
          <w:color w:val="auto"/>
          <w:spacing w:val="-3"/>
          <w:sz w:val="24"/>
          <w:szCs w:val="24"/>
        </w:rPr>
        <w:t>根据《质量管理体系认证规则》要求，如现场审核过程涉及审核组织其他固定多场所，必须将这些固定多场所的名称与地址的中英文信息表述在审核计划、证书确认单和审核报告中。</w:t>
      </w:r>
    </w:p>
    <w:p w14:paraId="335C9A8C">
      <w:pPr>
        <w:tabs>
          <w:tab w:val="left" w:pos="852"/>
        </w:tabs>
        <w:spacing w:line="360" w:lineRule="auto"/>
        <w:ind w:right="388" w:firstLine="960" w:firstLineChars="400"/>
        <w:jc w:val="both"/>
        <w:rPr>
          <w:color w:val="auto"/>
          <w:spacing w:val="-3"/>
          <w:sz w:val="24"/>
          <w:szCs w:val="24"/>
        </w:rPr>
      </w:pPr>
      <w:r>
        <w:rPr>
          <w:color w:val="auto"/>
          <w:sz w:val="24"/>
          <w:szCs w:val="24"/>
        </w:rPr>
        <w:t>10</w:t>
      </w:r>
      <w:r>
        <w:rPr>
          <w:rFonts w:hint="eastAsia"/>
          <w:color w:val="auto"/>
          <w:sz w:val="24"/>
          <w:szCs w:val="24"/>
        </w:rPr>
        <w:t>）.</w:t>
      </w:r>
      <w:r>
        <w:rPr>
          <w:color w:val="auto"/>
          <w:spacing w:val="-3"/>
          <w:sz w:val="24"/>
          <w:szCs w:val="24"/>
        </w:rPr>
        <w:t>按照《审核任务书》确认企业名称、地址、人数、审核目的、审核类型、明确审核依据、审核范围、分场所/临时场所等；</w:t>
      </w:r>
    </w:p>
    <w:p w14:paraId="56523BD7">
      <w:pPr>
        <w:tabs>
          <w:tab w:val="left" w:pos="852"/>
        </w:tabs>
        <w:spacing w:line="360" w:lineRule="auto"/>
        <w:ind w:right="388" w:firstLine="960" w:firstLineChars="400"/>
        <w:jc w:val="both"/>
        <w:rPr>
          <w:color w:val="auto"/>
          <w:spacing w:val="-3"/>
          <w:sz w:val="24"/>
          <w:szCs w:val="24"/>
        </w:rPr>
      </w:pPr>
      <w:r>
        <w:rPr>
          <w:color w:val="auto"/>
          <w:sz w:val="24"/>
          <w:szCs w:val="24"/>
        </w:rPr>
        <w:t>11</w:t>
      </w:r>
      <w:r>
        <w:rPr>
          <w:rFonts w:hint="eastAsia"/>
          <w:color w:val="auto"/>
          <w:sz w:val="24"/>
          <w:szCs w:val="24"/>
        </w:rPr>
        <w:t>）.</w:t>
      </w:r>
      <w:r>
        <w:rPr>
          <w:color w:val="auto"/>
          <w:spacing w:val="-3"/>
          <w:sz w:val="24"/>
          <w:szCs w:val="24"/>
        </w:rPr>
        <w:t>介绍《审核计划》具体日程安排，并与企业进行确认；</w:t>
      </w:r>
    </w:p>
    <w:p w14:paraId="6483D63E">
      <w:pPr>
        <w:tabs>
          <w:tab w:val="left" w:pos="852"/>
        </w:tabs>
        <w:spacing w:line="360" w:lineRule="auto"/>
        <w:ind w:right="388" w:firstLine="960" w:firstLineChars="400"/>
        <w:jc w:val="both"/>
        <w:rPr>
          <w:color w:val="auto"/>
          <w:spacing w:val="-5"/>
          <w:sz w:val="24"/>
          <w:szCs w:val="24"/>
        </w:rPr>
      </w:pPr>
      <w:r>
        <w:rPr>
          <w:color w:val="auto"/>
          <w:sz w:val="24"/>
          <w:szCs w:val="24"/>
        </w:rPr>
        <w:t>1</w:t>
      </w:r>
      <w:r>
        <w:rPr>
          <w:rFonts w:hint="eastAsia"/>
          <w:color w:val="auto"/>
          <w:sz w:val="24"/>
          <w:szCs w:val="24"/>
        </w:rPr>
        <w:t>2）.</w:t>
      </w:r>
      <w:r>
        <w:rPr>
          <w:color w:val="auto"/>
          <w:spacing w:val="-8"/>
          <w:sz w:val="24"/>
          <w:szCs w:val="24"/>
        </w:rPr>
        <w:t>介绍不符合的分级</w:t>
      </w:r>
      <w:r>
        <w:rPr>
          <w:color w:val="auto"/>
          <w:sz w:val="24"/>
          <w:szCs w:val="24"/>
        </w:rPr>
        <w:t>（</w:t>
      </w:r>
      <w:r>
        <w:rPr>
          <w:color w:val="auto"/>
          <w:spacing w:val="-7"/>
          <w:sz w:val="24"/>
          <w:szCs w:val="24"/>
        </w:rPr>
        <w:t>分严重不符合、轻微不符合和建议项</w:t>
      </w:r>
      <w:r>
        <w:rPr>
          <w:color w:val="auto"/>
          <w:spacing w:val="-71"/>
          <w:sz w:val="24"/>
          <w:szCs w:val="24"/>
        </w:rPr>
        <w:t>）</w:t>
      </w:r>
      <w:r>
        <w:rPr>
          <w:color w:val="auto"/>
          <w:spacing w:val="-10"/>
          <w:sz w:val="24"/>
          <w:szCs w:val="24"/>
        </w:rPr>
        <w:t>；说明审核结论的几种情况和做出审核</w:t>
      </w:r>
      <w:r>
        <w:rPr>
          <w:color w:val="auto"/>
          <w:spacing w:val="-5"/>
          <w:sz w:val="24"/>
          <w:szCs w:val="24"/>
        </w:rPr>
        <w:t>结论的依据</w:t>
      </w:r>
      <w:r>
        <w:rPr>
          <w:rFonts w:hint="eastAsia"/>
          <w:color w:val="auto"/>
          <w:spacing w:val="-5"/>
          <w:sz w:val="24"/>
          <w:szCs w:val="24"/>
        </w:rPr>
        <w:t>。</w:t>
      </w:r>
    </w:p>
    <w:p w14:paraId="1D578BCC">
      <w:pPr>
        <w:tabs>
          <w:tab w:val="left" w:pos="852"/>
        </w:tabs>
        <w:spacing w:line="360" w:lineRule="auto"/>
        <w:ind w:right="388" w:firstLine="960" w:firstLineChars="400"/>
        <w:jc w:val="both"/>
        <w:rPr>
          <w:color w:val="auto"/>
          <w:spacing w:val="-5"/>
          <w:sz w:val="24"/>
          <w:szCs w:val="24"/>
        </w:rPr>
      </w:pPr>
      <w:r>
        <w:rPr>
          <w:color w:val="auto"/>
          <w:sz w:val="24"/>
          <w:szCs w:val="24"/>
        </w:rPr>
        <w:t>13</w:t>
      </w:r>
      <w:r>
        <w:rPr>
          <w:rFonts w:hint="eastAsia"/>
          <w:color w:val="auto"/>
          <w:sz w:val="24"/>
          <w:szCs w:val="24"/>
        </w:rPr>
        <w:t>）.</w:t>
      </w:r>
      <w:r>
        <w:rPr>
          <w:color w:val="auto"/>
          <w:spacing w:val="-3"/>
          <w:sz w:val="24"/>
          <w:szCs w:val="24"/>
        </w:rPr>
        <w:t>保密承诺和公正性声明；</w:t>
      </w:r>
    </w:p>
    <w:p w14:paraId="5CBB1313">
      <w:pPr>
        <w:tabs>
          <w:tab w:val="left" w:pos="748"/>
        </w:tabs>
        <w:spacing w:before="4" w:line="360" w:lineRule="auto"/>
        <w:ind w:firstLine="960" w:firstLineChars="400"/>
        <w:rPr>
          <w:color w:val="auto"/>
          <w:sz w:val="24"/>
          <w:szCs w:val="24"/>
        </w:rPr>
      </w:pPr>
      <w:r>
        <w:rPr>
          <w:color w:val="auto"/>
          <w:sz w:val="24"/>
          <w:szCs w:val="24"/>
        </w:rPr>
        <w:t>14</w:t>
      </w:r>
      <w:r>
        <w:rPr>
          <w:rFonts w:hint="eastAsia"/>
          <w:color w:val="auto"/>
          <w:sz w:val="24"/>
          <w:szCs w:val="24"/>
        </w:rPr>
        <w:t>）.</w:t>
      </w:r>
      <w:r>
        <w:rPr>
          <w:color w:val="auto"/>
          <w:spacing w:val="-3"/>
          <w:sz w:val="24"/>
          <w:szCs w:val="24"/>
        </w:rPr>
        <w:t>介绍申诉和投诉的规定</w:t>
      </w:r>
    </w:p>
    <w:p w14:paraId="4EAD1D4C">
      <w:pPr>
        <w:tabs>
          <w:tab w:val="left" w:pos="748"/>
        </w:tabs>
        <w:spacing w:before="4" w:line="360" w:lineRule="auto"/>
        <w:ind w:firstLine="960" w:firstLineChars="400"/>
        <w:rPr>
          <w:color w:val="auto"/>
          <w:spacing w:val="-3"/>
          <w:sz w:val="24"/>
          <w:szCs w:val="24"/>
        </w:rPr>
      </w:pPr>
      <w:r>
        <w:rPr>
          <w:color w:val="auto"/>
          <w:sz w:val="24"/>
          <w:szCs w:val="24"/>
        </w:rPr>
        <w:t>15</w:t>
      </w:r>
      <w:r>
        <w:rPr>
          <w:rFonts w:hint="eastAsia"/>
          <w:color w:val="auto"/>
          <w:sz w:val="24"/>
          <w:szCs w:val="24"/>
        </w:rPr>
        <w:t>）.</w:t>
      </w:r>
      <w:r>
        <w:rPr>
          <w:color w:val="auto"/>
          <w:spacing w:val="-3"/>
          <w:sz w:val="24"/>
          <w:szCs w:val="24"/>
        </w:rPr>
        <w:t>感谢企业准时参加首次会议,请企业领导致辞</w:t>
      </w:r>
    </w:p>
    <w:p w14:paraId="6517DC04">
      <w:pPr>
        <w:tabs>
          <w:tab w:val="left" w:pos="748"/>
        </w:tabs>
        <w:spacing w:before="4" w:line="360" w:lineRule="auto"/>
        <w:ind w:firstLine="936" w:firstLineChars="400"/>
        <w:rPr>
          <w:color w:val="auto"/>
          <w:sz w:val="24"/>
          <w:szCs w:val="24"/>
        </w:rPr>
      </w:pPr>
      <w:r>
        <w:rPr>
          <w:rFonts w:hint="eastAsia"/>
          <w:color w:val="auto"/>
          <w:spacing w:val="-3"/>
          <w:sz w:val="24"/>
          <w:szCs w:val="24"/>
        </w:rPr>
        <w:t>1</w:t>
      </w:r>
      <w:r>
        <w:rPr>
          <w:color w:val="auto"/>
          <w:spacing w:val="-3"/>
          <w:sz w:val="24"/>
          <w:szCs w:val="24"/>
        </w:rPr>
        <w:t>6)</w:t>
      </w:r>
      <w:r>
        <w:rPr>
          <w:rFonts w:hint="eastAsia"/>
          <w:color w:val="auto"/>
          <w:sz w:val="24"/>
          <w:szCs w:val="24"/>
        </w:rPr>
        <w:t>.宣布首次会议结束。</w:t>
      </w:r>
    </w:p>
    <w:p w14:paraId="58E8BC2B">
      <w:pPr>
        <w:tabs>
          <w:tab w:val="left" w:pos="748"/>
        </w:tabs>
        <w:spacing w:before="4" w:line="360" w:lineRule="auto"/>
        <w:ind w:firstLine="960" w:firstLineChars="400"/>
        <w:rPr>
          <w:rFonts w:hint="eastAsia"/>
          <w:color w:val="auto"/>
          <w:sz w:val="24"/>
          <w:szCs w:val="24"/>
        </w:rPr>
      </w:pPr>
    </w:p>
    <w:p w14:paraId="020CFDB4">
      <w:pPr>
        <w:spacing w:line="360" w:lineRule="auto"/>
        <w:ind w:left="113" w:firstLine="372" w:firstLineChars="200"/>
        <w:jc w:val="both"/>
        <w:rPr>
          <w:rFonts w:ascii="黑体" w:hAnsi="黑体" w:eastAsia="黑体"/>
          <w:bCs/>
          <w:color w:val="auto"/>
          <w:sz w:val="24"/>
          <w:szCs w:val="24"/>
        </w:rPr>
      </w:pPr>
      <w:r>
        <w:rPr>
          <w:rFonts w:ascii="黑体" w:hAnsi="黑体" w:eastAsia="黑体"/>
          <w:bCs/>
          <w:color w:val="auto"/>
          <w:spacing w:val="-27"/>
          <w:sz w:val="24"/>
          <w:szCs w:val="24"/>
        </w:rPr>
        <w:t xml:space="preserve">第 </w:t>
      </w:r>
      <w:r>
        <w:rPr>
          <w:rFonts w:ascii="黑体" w:hAnsi="黑体" w:eastAsia="黑体"/>
          <w:bCs/>
          <w:color w:val="auto"/>
          <w:sz w:val="24"/>
          <w:szCs w:val="24"/>
        </w:rPr>
        <w:t>02</w:t>
      </w:r>
      <w:r>
        <w:rPr>
          <w:rFonts w:ascii="黑体" w:hAnsi="黑体" w:eastAsia="黑体"/>
          <w:bCs/>
          <w:color w:val="auto"/>
          <w:spacing w:val="3"/>
          <w:sz w:val="24"/>
          <w:szCs w:val="24"/>
        </w:rPr>
        <w:t xml:space="preserve"> </w:t>
      </w:r>
      <w:r>
        <w:rPr>
          <w:rFonts w:ascii="黑体" w:hAnsi="黑体" w:eastAsia="黑体"/>
          <w:bCs/>
          <w:color w:val="auto"/>
          <w:spacing w:val="-5"/>
          <w:sz w:val="24"/>
          <w:szCs w:val="24"/>
        </w:rPr>
        <w:t>条 现场巡视</w:t>
      </w:r>
    </w:p>
    <w:p w14:paraId="0D126618">
      <w:pPr>
        <w:pStyle w:val="5"/>
        <w:spacing w:before="163" w:line="360" w:lineRule="auto"/>
        <w:ind w:left="113" w:right="386" w:firstLine="420"/>
        <w:jc w:val="both"/>
        <w:rPr>
          <w:color w:val="auto"/>
          <w:spacing w:val="-12"/>
          <w:sz w:val="24"/>
          <w:szCs w:val="24"/>
        </w:rPr>
      </w:pPr>
      <w:r>
        <w:rPr>
          <w:color w:val="auto"/>
          <w:spacing w:val="-11"/>
          <w:sz w:val="24"/>
          <w:szCs w:val="24"/>
        </w:rPr>
        <w:t>首次会议结束后，审核组成员应在企业带领下，根据现场的平面图和管网图，界定清楚审核的地域范</w:t>
      </w:r>
      <w:r>
        <w:rPr>
          <w:color w:val="auto"/>
          <w:spacing w:val="-12"/>
          <w:sz w:val="24"/>
          <w:szCs w:val="24"/>
        </w:rPr>
        <w:t>围，对所界定的范围进行全面巡视。包括生产车间现场、锅炉房、辅助场所如配电房、空压机房、废品仓</w:t>
      </w:r>
      <w:r>
        <w:rPr>
          <w:color w:val="auto"/>
          <w:spacing w:val="-13"/>
          <w:sz w:val="24"/>
          <w:szCs w:val="24"/>
        </w:rPr>
        <w:t>库、机修车间、仓库、食堂、办公区、生活区、污水排放口、污水处理设施等厂界内所有场所，了解企业</w:t>
      </w:r>
      <w:r>
        <w:rPr>
          <w:color w:val="auto"/>
          <w:spacing w:val="-12"/>
          <w:sz w:val="24"/>
          <w:szCs w:val="24"/>
        </w:rPr>
        <w:t>所配备的环保设施，特别需要确认企业所界定的区域是否全面。</w:t>
      </w:r>
    </w:p>
    <w:p w14:paraId="5CE7E369">
      <w:pPr>
        <w:pStyle w:val="5"/>
        <w:spacing w:before="163" w:line="360" w:lineRule="auto"/>
        <w:ind w:right="386"/>
        <w:jc w:val="both"/>
        <w:rPr>
          <w:color w:val="auto"/>
          <w:sz w:val="24"/>
          <w:szCs w:val="24"/>
        </w:rPr>
      </w:pPr>
      <w:r>
        <w:rPr>
          <w:color w:val="auto"/>
          <w:spacing w:val="-12"/>
          <w:sz w:val="24"/>
          <w:szCs w:val="24"/>
        </w:rPr>
        <w:t>一阶段现场巡视时，要查看和了解企业所</w:t>
      </w:r>
      <w:r>
        <w:rPr>
          <w:color w:val="auto"/>
          <w:spacing w:val="-10"/>
          <w:sz w:val="24"/>
          <w:szCs w:val="24"/>
        </w:rPr>
        <w:t>界定的范围周边的环境情况和相邻区域的环境影响，全面掌握企业本身及其周边的环境情况，并为二阶段</w:t>
      </w:r>
      <w:r>
        <w:rPr>
          <w:color w:val="auto"/>
          <w:spacing w:val="-5"/>
          <w:sz w:val="24"/>
          <w:szCs w:val="24"/>
        </w:rPr>
        <w:t>审核提供关注点。</w:t>
      </w:r>
    </w:p>
    <w:p w14:paraId="152AB738">
      <w:pPr>
        <w:pStyle w:val="5"/>
        <w:spacing w:before="6"/>
        <w:rPr>
          <w:color w:val="auto"/>
          <w:sz w:val="24"/>
        </w:rPr>
      </w:pPr>
    </w:p>
    <w:p w14:paraId="3463D66D">
      <w:pPr>
        <w:spacing w:before="1"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03 条 第一阶段审核</w:t>
      </w:r>
    </w:p>
    <w:p w14:paraId="7FCE0405">
      <w:pPr>
        <w:pStyle w:val="5"/>
        <w:spacing w:before="187" w:line="360" w:lineRule="auto"/>
        <w:ind w:left="324" w:right="390" w:firstLine="468" w:firstLineChars="200"/>
        <w:rPr>
          <w:color w:val="auto"/>
          <w:spacing w:val="-3"/>
          <w:sz w:val="24"/>
          <w:szCs w:val="24"/>
        </w:rPr>
      </w:pPr>
      <w:r>
        <w:rPr>
          <w:color w:val="auto"/>
          <w:spacing w:val="-3"/>
          <w:sz w:val="24"/>
          <w:szCs w:val="24"/>
        </w:rPr>
        <w:t>无论第一阶段为现场或非现场审核，第一阶段的审核目的和审核要求均相同，至少应覆盖以下内容：</w:t>
      </w:r>
    </w:p>
    <w:p w14:paraId="2F9DCCCD">
      <w:pPr>
        <w:pStyle w:val="5"/>
        <w:spacing w:before="187" w:line="360" w:lineRule="auto"/>
        <w:ind w:right="390" w:firstLine="468" w:firstLineChars="200"/>
        <w:rPr>
          <w:color w:val="auto"/>
          <w:spacing w:val="-3"/>
          <w:sz w:val="24"/>
          <w:szCs w:val="24"/>
        </w:rPr>
      </w:pPr>
      <w:r>
        <w:rPr>
          <w:color w:val="auto"/>
          <w:spacing w:val="-3"/>
          <w:sz w:val="24"/>
          <w:szCs w:val="24"/>
        </w:rPr>
        <w:t>1、核实申请信息与企业实际是否相符，包括但不限于：企业公司名称、注册地址、实际经营地址（</w:t>
      </w:r>
      <w:r>
        <w:rPr>
          <w:color w:val="auto"/>
          <w:sz w:val="24"/>
          <w:szCs w:val="24"/>
        </w:rPr>
        <w:t>含</w:t>
      </w:r>
      <w:r>
        <w:rPr>
          <w:color w:val="auto"/>
          <w:spacing w:val="-1"/>
          <w:sz w:val="24"/>
          <w:szCs w:val="24"/>
        </w:rPr>
        <w:t>多场所</w:t>
      </w:r>
      <w:r>
        <w:rPr>
          <w:color w:val="auto"/>
          <w:spacing w:val="-106"/>
          <w:sz w:val="24"/>
          <w:szCs w:val="24"/>
        </w:rPr>
        <w:t>）</w:t>
      </w:r>
      <w:r>
        <w:rPr>
          <w:color w:val="auto"/>
          <w:spacing w:val="-3"/>
          <w:sz w:val="24"/>
          <w:szCs w:val="24"/>
        </w:rPr>
        <w:t>、生产的产品</w:t>
      </w:r>
      <w:r>
        <w:rPr>
          <w:color w:val="auto"/>
          <w:sz w:val="24"/>
          <w:szCs w:val="24"/>
        </w:rPr>
        <w:t>/</w:t>
      </w:r>
      <w:r>
        <w:rPr>
          <w:color w:val="auto"/>
          <w:spacing w:val="-3"/>
          <w:sz w:val="24"/>
          <w:szCs w:val="24"/>
        </w:rPr>
        <w:t>提供的服务。</w:t>
      </w:r>
    </w:p>
    <w:p w14:paraId="50A232A7">
      <w:pPr>
        <w:pStyle w:val="5"/>
        <w:spacing w:line="360" w:lineRule="auto"/>
        <w:ind w:firstLine="480" w:firstLineChars="200"/>
        <w:rPr>
          <w:color w:val="auto"/>
          <w:sz w:val="24"/>
          <w:szCs w:val="24"/>
        </w:rPr>
      </w:pPr>
      <w:r>
        <w:rPr>
          <w:color w:val="auto"/>
          <w:sz w:val="24"/>
          <w:szCs w:val="24"/>
        </w:rPr>
        <w:t>2</w:t>
      </w:r>
      <w:r>
        <w:rPr>
          <w:color w:val="auto"/>
          <w:spacing w:val="-17"/>
          <w:sz w:val="24"/>
          <w:szCs w:val="24"/>
        </w:rPr>
        <w:t xml:space="preserve">、体系人数的确认，企业体系人数应以企业实际人数为准，且不低于企业社保缴费通知单显示的人数； </w:t>
      </w:r>
      <w:r>
        <w:rPr>
          <w:color w:val="auto"/>
          <w:spacing w:val="-7"/>
          <w:sz w:val="24"/>
          <w:szCs w:val="24"/>
        </w:rPr>
        <w:t>如企业未缴纳社保，应提供员工花名册。</w:t>
      </w:r>
    </w:p>
    <w:p w14:paraId="2BB5F878">
      <w:pPr>
        <w:pStyle w:val="5"/>
        <w:spacing w:before="98" w:line="360" w:lineRule="auto"/>
        <w:ind w:firstLine="480" w:firstLineChars="200"/>
        <w:rPr>
          <w:color w:val="auto"/>
          <w:sz w:val="24"/>
          <w:szCs w:val="24"/>
        </w:rPr>
      </w:pPr>
      <w:r>
        <w:rPr>
          <w:color w:val="auto"/>
          <w:sz w:val="24"/>
          <w:szCs w:val="24"/>
        </w:rPr>
        <w:t xml:space="preserve">3、审核企业的管理体系文件，确认是否已有效运行并且超过 </w:t>
      </w:r>
      <w:r>
        <w:rPr>
          <w:b/>
          <w:color w:val="auto"/>
          <w:sz w:val="24"/>
          <w:szCs w:val="24"/>
        </w:rPr>
        <w:t xml:space="preserve">3 </w:t>
      </w:r>
      <w:r>
        <w:rPr>
          <w:color w:val="auto"/>
          <w:sz w:val="24"/>
          <w:szCs w:val="24"/>
        </w:rPr>
        <w:t>个月。</w:t>
      </w:r>
    </w:p>
    <w:p w14:paraId="08C4955C">
      <w:pPr>
        <w:pStyle w:val="5"/>
        <w:spacing w:before="165" w:line="360" w:lineRule="auto"/>
        <w:ind w:right="390" w:firstLine="480" w:firstLineChars="200"/>
        <w:rPr>
          <w:color w:val="auto"/>
          <w:sz w:val="24"/>
          <w:szCs w:val="24"/>
        </w:rPr>
      </w:pPr>
      <w:r>
        <w:rPr>
          <w:color w:val="auto"/>
          <w:sz w:val="24"/>
          <w:szCs w:val="24"/>
        </w:rPr>
        <w:t>4、评价管理体系运行是否策划和实施了内部审核与管理评审，管理评审及内审的实施是否覆盖了所有过程和场所、实施程度能否符合标准要求。</w:t>
      </w:r>
    </w:p>
    <w:p w14:paraId="3F6947C7">
      <w:pPr>
        <w:pStyle w:val="5"/>
        <w:spacing w:before="165" w:line="360" w:lineRule="auto"/>
        <w:ind w:right="390" w:firstLine="480" w:firstLineChars="200"/>
        <w:rPr>
          <w:color w:val="auto"/>
          <w:sz w:val="24"/>
          <w:szCs w:val="24"/>
        </w:rPr>
      </w:pPr>
      <w:r>
        <w:rPr>
          <w:rFonts w:hint="eastAsia"/>
          <w:color w:val="auto"/>
          <w:sz w:val="24"/>
          <w:szCs w:val="24"/>
        </w:rPr>
        <w:t>5、环境管理体系及职业健康安全管理体系须识别组织是否策划和实施环境因素/危险源识别及评价。</w:t>
      </w:r>
    </w:p>
    <w:p w14:paraId="3F0972FE">
      <w:pPr>
        <w:pStyle w:val="5"/>
        <w:spacing w:before="3" w:line="360" w:lineRule="auto"/>
        <w:ind w:firstLine="480" w:firstLineChars="200"/>
        <w:rPr>
          <w:color w:val="auto"/>
          <w:sz w:val="24"/>
          <w:szCs w:val="24"/>
        </w:rPr>
      </w:pPr>
    </w:p>
    <w:p w14:paraId="3C4BF162">
      <w:pPr>
        <w:spacing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04 条 第二阶段审核</w:t>
      </w:r>
    </w:p>
    <w:p w14:paraId="641EFCDF">
      <w:pPr>
        <w:pStyle w:val="5"/>
        <w:spacing w:before="7"/>
        <w:rPr>
          <w:b/>
          <w:color w:val="auto"/>
          <w:sz w:val="17"/>
        </w:rPr>
      </w:pPr>
    </w:p>
    <w:p w14:paraId="450D47E2">
      <w:pPr>
        <w:pStyle w:val="5"/>
        <w:spacing w:before="1" w:line="360" w:lineRule="auto"/>
        <w:ind w:left="430" w:firstLine="480" w:firstLineChars="200"/>
        <w:rPr>
          <w:color w:val="auto"/>
          <w:sz w:val="24"/>
          <w:szCs w:val="24"/>
        </w:rPr>
      </w:pPr>
      <w:r>
        <w:rPr>
          <w:color w:val="auto"/>
          <w:sz w:val="24"/>
          <w:szCs w:val="24"/>
        </w:rPr>
        <w:t>第二阶段审核重点审核管理体系符合标准要求和有效运行情况，应至少覆盖以下内容：</w:t>
      </w:r>
    </w:p>
    <w:p w14:paraId="0B4B7979">
      <w:pPr>
        <w:pStyle w:val="5"/>
        <w:spacing w:before="5" w:line="360" w:lineRule="auto"/>
        <w:ind w:firstLine="480" w:firstLineChars="200"/>
        <w:rPr>
          <w:color w:val="auto"/>
          <w:sz w:val="24"/>
          <w:szCs w:val="24"/>
        </w:rPr>
      </w:pPr>
    </w:p>
    <w:p w14:paraId="56E664A3">
      <w:pPr>
        <w:pStyle w:val="5"/>
        <w:spacing w:line="360" w:lineRule="auto"/>
        <w:ind w:left="324" w:firstLine="480" w:firstLineChars="200"/>
        <w:rPr>
          <w:color w:val="auto"/>
          <w:sz w:val="24"/>
          <w:szCs w:val="24"/>
        </w:rPr>
      </w:pPr>
      <w:r>
        <w:rPr>
          <w:color w:val="auto"/>
          <w:sz w:val="24"/>
          <w:szCs w:val="24"/>
        </w:rPr>
        <w:t>1、在第一阶段审核中识别的重要审核点的监视、测量、报告和评审记录的完整性和有效性；</w:t>
      </w:r>
    </w:p>
    <w:p w14:paraId="1E85721D">
      <w:pPr>
        <w:pStyle w:val="5"/>
        <w:spacing w:before="171" w:line="360" w:lineRule="auto"/>
        <w:ind w:left="324" w:firstLine="480" w:firstLineChars="200"/>
        <w:rPr>
          <w:color w:val="auto"/>
          <w:sz w:val="24"/>
          <w:szCs w:val="24"/>
        </w:rPr>
      </w:pPr>
      <w:r>
        <w:rPr>
          <w:color w:val="auto"/>
          <w:sz w:val="24"/>
          <w:szCs w:val="24"/>
        </w:rPr>
        <w:t>2、为实现总质量目标而建立的各层级质量目标是否具体、是否有针对性、是否可测量并且可实现；</w:t>
      </w:r>
    </w:p>
    <w:p w14:paraId="12D3D74C">
      <w:pPr>
        <w:pStyle w:val="5"/>
        <w:spacing w:before="44" w:line="360" w:lineRule="auto"/>
        <w:ind w:left="324" w:firstLine="480" w:firstLineChars="200"/>
        <w:rPr>
          <w:color w:val="auto"/>
          <w:sz w:val="24"/>
          <w:szCs w:val="24"/>
        </w:rPr>
      </w:pPr>
    </w:p>
    <w:p w14:paraId="5F34B30C">
      <w:pPr>
        <w:pStyle w:val="5"/>
        <w:spacing w:before="44" w:line="360" w:lineRule="auto"/>
        <w:ind w:left="324" w:firstLine="480" w:firstLineChars="200"/>
        <w:rPr>
          <w:color w:val="auto"/>
          <w:sz w:val="24"/>
          <w:szCs w:val="24"/>
        </w:rPr>
      </w:pPr>
      <w:r>
        <w:rPr>
          <w:color w:val="auto"/>
          <w:sz w:val="24"/>
          <w:szCs w:val="24"/>
        </w:rPr>
        <w:t>3、对管理体系覆盖的各过程和活动的管理及控制情况；</w:t>
      </w:r>
    </w:p>
    <w:p w14:paraId="3EB5095E">
      <w:pPr>
        <w:pStyle w:val="5"/>
        <w:spacing w:before="171" w:line="360" w:lineRule="auto"/>
        <w:ind w:left="324" w:firstLine="480" w:firstLineChars="200"/>
        <w:rPr>
          <w:color w:val="auto"/>
          <w:sz w:val="24"/>
          <w:szCs w:val="24"/>
        </w:rPr>
      </w:pPr>
      <w:r>
        <w:rPr>
          <w:color w:val="auto"/>
          <w:sz w:val="24"/>
          <w:szCs w:val="24"/>
        </w:rPr>
        <w:t>4、企业的内部审核和管理评审是否有效；</w:t>
      </w:r>
    </w:p>
    <w:p w14:paraId="5939AF98">
      <w:pPr>
        <w:pStyle w:val="5"/>
        <w:spacing w:before="171" w:line="360" w:lineRule="auto"/>
        <w:ind w:left="324" w:firstLine="480" w:firstLineChars="200"/>
        <w:rPr>
          <w:color w:val="auto"/>
          <w:sz w:val="24"/>
          <w:szCs w:val="24"/>
        </w:rPr>
      </w:pPr>
      <w:r>
        <w:rPr>
          <w:color w:val="auto"/>
          <w:sz w:val="24"/>
          <w:szCs w:val="24"/>
        </w:rPr>
        <w:t>5、企业管理体系运行记录与体系标准或其他规范性文件要求的符合性、有效性；</w:t>
      </w:r>
    </w:p>
    <w:p w14:paraId="15825614">
      <w:pPr>
        <w:pStyle w:val="5"/>
        <w:spacing w:before="170" w:line="360" w:lineRule="auto"/>
        <w:ind w:left="324" w:firstLine="480" w:firstLineChars="200"/>
        <w:rPr>
          <w:color w:val="auto"/>
          <w:sz w:val="24"/>
          <w:szCs w:val="24"/>
        </w:rPr>
      </w:pPr>
      <w:r>
        <w:rPr>
          <w:color w:val="auto"/>
          <w:sz w:val="24"/>
          <w:szCs w:val="24"/>
        </w:rPr>
        <w:t>6、内部审核和管理评审是否有效；7</w:t>
      </w:r>
      <w:r>
        <w:rPr>
          <w:color w:val="auto"/>
          <w:spacing w:val="-1"/>
          <w:sz w:val="24"/>
          <w:szCs w:val="24"/>
        </w:rPr>
        <w:t>、企业的产品、服务是否满足相关法律法规要求，内容涉及：测量监测设备的检定；产品生产标准按</w:t>
      </w:r>
      <w:r>
        <w:rPr>
          <w:color w:val="auto"/>
          <w:spacing w:val="-3"/>
          <w:sz w:val="24"/>
          <w:szCs w:val="24"/>
        </w:rPr>
        <w:t>要求备案；企业资质；组织策划和运行管理体系所需法律法规</w:t>
      </w:r>
      <w:r>
        <w:rPr>
          <w:color w:val="auto"/>
          <w:sz w:val="24"/>
          <w:szCs w:val="24"/>
        </w:rPr>
        <w:t>（</w:t>
      </w:r>
      <w:r>
        <w:rPr>
          <w:color w:val="auto"/>
          <w:spacing w:val="-2"/>
          <w:sz w:val="24"/>
          <w:szCs w:val="24"/>
        </w:rPr>
        <w:t>标准</w:t>
      </w:r>
      <w:r>
        <w:rPr>
          <w:color w:val="auto"/>
          <w:spacing w:val="-108"/>
          <w:sz w:val="24"/>
          <w:szCs w:val="24"/>
        </w:rPr>
        <w:t>）</w:t>
      </w:r>
      <w:r>
        <w:rPr>
          <w:color w:val="auto"/>
          <w:sz w:val="24"/>
          <w:szCs w:val="24"/>
        </w:rPr>
        <w:t xml:space="preserve">；3C </w:t>
      </w:r>
      <w:r>
        <w:rPr>
          <w:color w:val="auto"/>
          <w:spacing w:val="-3"/>
          <w:sz w:val="24"/>
          <w:szCs w:val="24"/>
        </w:rPr>
        <w:t>认证；生产许可证等。</w:t>
      </w:r>
    </w:p>
    <w:p w14:paraId="496D8D37">
      <w:pPr>
        <w:spacing w:before="175" w:line="360" w:lineRule="auto"/>
        <w:ind w:left="112" w:firstLine="480" w:firstLineChars="200"/>
        <w:rPr>
          <w:rFonts w:ascii="黑体" w:hAnsi="黑体" w:eastAsia="黑体"/>
          <w:bCs/>
          <w:color w:val="auto"/>
          <w:sz w:val="24"/>
          <w:szCs w:val="24"/>
        </w:rPr>
      </w:pPr>
      <w:r>
        <w:rPr>
          <w:rFonts w:ascii="黑体" w:hAnsi="黑体" w:eastAsia="黑体"/>
          <w:bCs/>
          <w:color w:val="auto"/>
          <w:sz w:val="24"/>
          <w:szCs w:val="24"/>
        </w:rPr>
        <w:t>第 05 条 结合审核</w:t>
      </w:r>
    </w:p>
    <w:p w14:paraId="2464901C">
      <w:pPr>
        <w:pStyle w:val="5"/>
        <w:spacing w:before="12"/>
        <w:rPr>
          <w:b/>
          <w:color w:val="auto"/>
          <w:sz w:val="20"/>
        </w:rPr>
      </w:pPr>
    </w:p>
    <w:p w14:paraId="32A5FA54">
      <w:pPr>
        <w:pStyle w:val="5"/>
        <w:spacing w:line="360" w:lineRule="auto"/>
        <w:ind w:left="112" w:right="306" w:firstLine="480" w:firstLineChars="200"/>
        <w:jc w:val="both"/>
        <w:rPr>
          <w:color w:val="auto"/>
          <w:sz w:val="24"/>
          <w:szCs w:val="24"/>
        </w:rPr>
      </w:pPr>
      <w:r>
        <w:rPr>
          <w:color w:val="auto"/>
          <w:sz w:val="24"/>
          <w:szCs w:val="24"/>
        </w:rPr>
        <w:t>当质量管理体系、环境管理体系、职业健康安全管理体系或其他管理体系审核同时结合进行时，有些</w:t>
      </w:r>
      <w:r>
        <w:rPr>
          <w:color w:val="auto"/>
          <w:spacing w:val="-6"/>
          <w:sz w:val="24"/>
          <w:szCs w:val="24"/>
        </w:rPr>
        <w:t>要求是所有体系共有的。在确定审核员对通用要求的审核能力时，主要原则是保持每个体系审核的完整性</w:t>
      </w:r>
      <w:r>
        <w:rPr>
          <w:color w:val="auto"/>
          <w:spacing w:val="-4"/>
          <w:sz w:val="24"/>
          <w:szCs w:val="24"/>
        </w:rPr>
        <w:t>和有效性。要求在审核策划和审核计划安排活动中合理分配适当能力的审核员。</w:t>
      </w:r>
    </w:p>
    <w:p w14:paraId="77C2555D">
      <w:pPr>
        <w:pStyle w:val="5"/>
        <w:spacing w:before="6" w:line="360" w:lineRule="auto"/>
        <w:ind w:firstLine="480" w:firstLineChars="200"/>
        <w:rPr>
          <w:color w:val="auto"/>
          <w:sz w:val="24"/>
          <w:szCs w:val="24"/>
        </w:rPr>
      </w:pPr>
    </w:p>
    <w:p w14:paraId="05E867C2">
      <w:pPr>
        <w:spacing w:line="360" w:lineRule="auto"/>
        <w:ind w:left="112" w:firstLine="480" w:firstLineChars="200"/>
        <w:rPr>
          <w:rFonts w:ascii="黑体" w:hAnsi="黑体" w:eastAsia="黑体"/>
          <w:bCs/>
          <w:color w:val="auto"/>
          <w:sz w:val="24"/>
          <w:szCs w:val="24"/>
        </w:rPr>
      </w:pPr>
      <w:r>
        <w:rPr>
          <w:rFonts w:ascii="黑体" w:hAnsi="黑体" w:eastAsia="黑体"/>
          <w:bCs/>
          <w:color w:val="auto"/>
          <w:sz w:val="24"/>
          <w:szCs w:val="24"/>
        </w:rPr>
        <w:t>第 06 条 监督审核</w:t>
      </w:r>
    </w:p>
    <w:p w14:paraId="13E03503">
      <w:pPr>
        <w:pStyle w:val="5"/>
        <w:spacing w:before="4" w:line="360" w:lineRule="auto"/>
        <w:ind w:firstLine="381" w:firstLineChars="200"/>
        <w:rPr>
          <w:b/>
          <w:color w:val="auto"/>
          <w:sz w:val="19"/>
        </w:rPr>
      </w:pPr>
    </w:p>
    <w:p w14:paraId="7F38B0B4">
      <w:pPr>
        <w:pStyle w:val="5"/>
        <w:spacing w:line="360" w:lineRule="auto"/>
        <w:ind w:left="112" w:right="283" w:firstLine="480" w:firstLineChars="200"/>
        <w:rPr>
          <w:color w:val="auto"/>
          <w:sz w:val="24"/>
          <w:szCs w:val="24"/>
        </w:rPr>
      </w:pPr>
      <w:r>
        <w:rPr>
          <w:color w:val="auto"/>
          <w:sz w:val="24"/>
          <w:szCs w:val="24"/>
        </w:rPr>
        <w:t>1、 监督审核目的：对持有本机构颁发的管理体系认证证书的组织（以下称获证组织）进行有效跟踪，监督获证组织通过认证的管理体系持续符合要求。</w:t>
      </w:r>
    </w:p>
    <w:p w14:paraId="4A696A59">
      <w:pPr>
        <w:pStyle w:val="5"/>
        <w:spacing w:before="17" w:line="360" w:lineRule="auto"/>
        <w:ind w:left="112" w:right="263" w:firstLine="480" w:firstLineChars="200"/>
        <w:rPr>
          <w:color w:val="auto"/>
          <w:sz w:val="24"/>
          <w:szCs w:val="24"/>
        </w:rPr>
      </w:pPr>
      <w:r>
        <w:rPr>
          <w:color w:val="auto"/>
          <w:sz w:val="24"/>
          <w:szCs w:val="24"/>
        </w:rPr>
        <w:t>2、 监督间隔时间：作为最低要求，在初次认证的第二阶段审核后至少 12 个月内应进行一次监督审核； 此后，每次监督审核的时间间隔不超过 12 个月。当超过规定间隔时间时，企业的证书将被暂停。</w:t>
      </w:r>
    </w:p>
    <w:p w14:paraId="7C056129">
      <w:pPr>
        <w:pStyle w:val="5"/>
        <w:spacing w:line="360" w:lineRule="auto"/>
        <w:ind w:left="112" w:firstLine="480" w:firstLineChars="200"/>
        <w:rPr>
          <w:color w:val="auto"/>
          <w:sz w:val="24"/>
          <w:szCs w:val="24"/>
        </w:rPr>
      </w:pPr>
      <w:r>
        <w:rPr>
          <w:color w:val="auto"/>
          <w:sz w:val="24"/>
          <w:szCs w:val="24"/>
        </w:rPr>
        <w:t>3、 审核组在监督审核时，不得对认证范围进行抽样审核。</w:t>
      </w:r>
    </w:p>
    <w:p w14:paraId="52103860">
      <w:pPr>
        <w:pStyle w:val="5"/>
        <w:spacing w:before="115" w:line="360" w:lineRule="auto"/>
        <w:ind w:left="112" w:firstLine="480" w:firstLineChars="200"/>
        <w:rPr>
          <w:color w:val="auto"/>
          <w:sz w:val="24"/>
          <w:szCs w:val="24"/>
        </w:rPr>
      </w:pPr>
      <w:r>
        <w:rPr>
          <w:color w:val="auto"/>
          <w:sz w:val="24"/>
          <w:szCs w:val="24"/>
        </w:rPr>
        <w:t>4、 监督审核至少应覆盖以下内容：</w:t>
      </w:r>
    </w:p>
    <w:p w14:paraId="00CDC037">
      <w:pPr>
        <w:pStyle w:val="5"/>
        <w:spacing w:before="175" w:line="360" w:lineRule="auto"/>
        <w:ind w:left="542" w:firstLine="480" w:firstLineChars="200"/>
        <w:rPr>
          <w:color w:val="auto"/>
          <w:sz w:val="24"/>
          <w:szCs w:val="24"/>
        </w:rPr>
      </w:pPr>
      <w:r>
        <w:rPr>
          <w:color w:val="auto"/>
          <w:sz w:val="24"/>
          <w:szCs w:val="24"/>
        </w:rPr>
        <w:t>1）.上次审核以来管理体系覆盖的活动及影响体系的重要变更及运行体系的资源是否有变更。</w:t>
      </w:r>
    </w:p>
    <w:p w14:paraId="192B04C3">
      <w:pPr>
        <w:pStyle w:val="5"/>
        <w:spacing w:before="175" w:line="360" w:lineRule="auto"/>
        <w:ind w:left="542" w:firstLine="480" w:firstLineChars="200"/>
        <w:rPr>
          <w:color w:val="auto"/>
          <w:spacing w:val="-3"/>
          <w:sz w:val="24"/>
          <w:szCs w:val="24"/>
        </w:rPr>
      </w:pPr>
      <w:r>
        <w:rPr>
          <w:rFonts w:hint="eastAsia"/>
          <w:color w:val="auto"/>
          <w:sz w:val="24"/>
          <w:szCs w:val="24"/>
        </w:rPr>
        <w:t>2）.</w:t>
      </w:r>
      <w:r>
        <w:rPr>
          <w:color w:val="auto"/>
          <w:spacing w:val="-3"/>
          <w:sz w:val="24"/>
          <w:szCs w:val="24"/>
        </w:rPr>
        <w:t>已识别的重要关键点是否按质量管理体系的要求在正常和有效运行。</w:t>
      </w:r>
    </w:p>
    <w:p w14:paraId="22462F66">
      <w:pPr>
        <w:pStyle w:val="5"/>
        <w:spacing w:before="175" w:line="360" w:lineRule="auto"/>
        <w:ind w:left="542" w:firstLine="480" w:firstLineChars="200"/>
        <w:rPr>
          <w:color w:val="auto"/>
          <w:spacing w:val="-3"/>
          <w:sz w:val="24"/>
          <w:szCs w:val="24"/>
        </w:rPr>
      </w:pPr>
      <w:r>
        <w:rPr>
          <w:color w:val="auto"/>
          <w:sz w:val="24"/>
          <w:szCs w:val="24"/>
        </w:rPr>
        <w:t>3</w:t>
      </w:r>
      <w:r>
        <w:rPr>
          <w:rFonts w:hint="eastAsia"/>
          <w:color w:val="auto"/>
          <w:sz w:val="24"/>
          <w:szCs w:val="24"/>
        </w:rPr>
        <w:t>）.</w:t>
      </w:r>
      <w:r>
        <w:rPr>
          <w:color w:val="auto"/>
          <w:spacing w:val="-3"/>
          <w:sz w:val="24"/>
          <w:szCs w:val="24"/>
        </w:rPr>
        <w:t>对上次审核确定的不符合所采取纠正和纠正措施的有效性验证。</w:t>
      </w:r>
    </w:p>
    <w:p w14:paraId="1C8E5D22">
      <w:pPr>
        <w:pStyle w:val="5"/>
        <w:spacing w:before="175" w:line="360" w:lineRule="auto"/>
        <w:ind w:left="542" w:firstLine="480" w:firstLineChars="200"/>
        <w:rPr>
          <w:color w:val="auto"/>
          <w:sz w:val="24"/>
          <w:szCs w:val="24"/>
        </w:rPr>
      </w:pPr>
    </w:p>
    <w:p w14:paraId="08941A90">
      <w:pPr>
        <w:pStyle w:val="5"/>
        <w:spacing w:before="175" w:line="360" w:lineRule="auto"/>
        <w:ind w:left="542" w:firstLine="480" w:firstLineChars="200"/>
        <w:rPr>
          <w:color w:val="auto"/>
          <w:spacing w:val="-3"/>
          <w:sz w:val="24"/>
          <w:szCs w:val="24"/>
        </w:rPr>
      </w:pPr>
      <w:r>
        <w:rPr>
          <w:color w:val="auto"/>
          <w:sz w:val="24"/>
          <w:szCs w:val="24"/>
        </w:rPr>
        <w:t>4</w:t>
      </w:r>
      <w:r>
        <w:rPr>
          <w:rFonts w:hint="eastAsia"/>
          <w:color w:val="auto"/>
          <w:sz w:val="24"/>
          <w:szCs w:val="24"/>
        </w:rPr>
        <w:t>）.</w:t>
      </w:r>
      <w:r>
        <w:rPr>
          <w:color w:val="auto"/>
          <w:spacing w:val="-3"/>
          <w:sz w:val="24"/>
          <w:szCs w:val="24"/>
        </w:rPr>
        <w:t>管理体系覆盖的活动涉及法律法规规定的，是否持续符合相关规定。</w:t>
      </w:r>
    </w:p>
    <w:p w14:paraId="0C6043CC">
      <w:pPr>
        <w:pStyle w:val="5"/>
        <w:spacing w:before="175" w:line="360" w:lineRule="auto"/>
        <w:ind w:left="542" w:firstLine="480" w:firstLineChars="200"/>
        <w:rPr>
          <w:color w:val="auto"/>
          <w:sz w:val="24"/>
          <w:szCs w:val="24"/>
        </w:rPr>
      </w:pPr>
      <w:r>
        <w:rPr>
          <w:color w:val="auto"/>
          <w:sz w:val="24"/>
          <w:szCs w:val="24"/>
        </w:rPr>
        <w:t>5</w:t>
      </w:r>
      <w:r>
        <w:rPr>
          <w:rFonts w:hint="eastAsia"/>
          <w:color w:val="auto"/>
          <w:sz w:val="24"/>
          <w:szCs w:val="24"/>
        </w:rPr>
        <w:t>）.</w:t>
      </w:r>
      <w:r>
        <w:rPr>
          <w:color w:val="auto"/>
          <w:spacing w:val="-3"/>
          <w:sz w:val="24"/>
          <w:szCs w:val="24"/>
        </w:rPr>
        <w:t>应关注自上次审核以来，企业是否发生过下列情况，如发生应立即报告公司审核部处理：</w:t>
      </w:r>
    </w:p>
    <w:p w14:paraId="0A0DE08B">
      <w:pPr>
        <w:pStyle w:val="5"/>
        <w:spacing w:before="134" w:line="360" w:lineRule="auto"/>
        <w:ind w:left="1673" w:right="352"/>
        <w:rPr>
          <w:color w:val="auto"/>
          <w:sz w:val="24"/>
          <w:szCs w:val="24"/>
        </w:rPr>
      </w:pPr>
      <w:r>
        <w:rPr>
          <w:color w:val="auto"/>
          <w:sz w:val="24"/>
          <w:szCs w:val="24"/>
        </w:rPr>
        <w:t>① 质量/环境/职业健康安全事件、产品召回、严重违反国家产品质量/环境/安全生产等管理相关法律法规行为；</w:t>
      </w:r>
    </w:p>
    <w:p w14:paraId="0E30CD0B">
      <w:pPr>
        <w:pStyle w:val="5"/>
        <w:spacing w:before="134" w:line="360" w:lineRule="auto"/>
        <w:ind w:left="1673" w:right="352"/>
        <w:rPr>
          <w:color w:val="auto"/>
          <w:sz w:val="24"/>
          <w:szCs w:val="24"/>
        </w:rPr>
      </w:pPr>
      <w:r>
        <w:rPr>
          <w:color w:val="auto"/>
          <w:sz w:val="24"/>
          <w:szCs w:val="24"/>
        </w:rPr>
        <w:t>② 顾客及相关方重大的申投诉；</w:t>
      </w:r>
    </w:p>
    <w:p w14:paraId="70C7AC79">
      <w:pPr>
        <w:pStyle w:val="5"/>
        <w:spacing w:before="134" w:line="360" w:lineRule="auto"/>
        <w:ind w:left="1673" w:right="352"/>
        <w:rPr>
          <w:color w:val="auto"/>
          <w:sz w:val="24"/>
          <w:szCs w:val="24"/>
        </w:rPr>
      </w:pPr>
      <w:r>
        <w:rPr>
          <w:color w:val="auto"/>
          <w:sz w:val="24"/>
          <w:szCs w:val="24"/>
        </w:rPr>
        <w:t>③ 受到有关执法监管部门或消协组织的处罚和通报。</w:t>
      </w:r>
    </w:p>
    <w:p w14:paraId="6049D413">
      <w:pPr>
        <w:pStyle w:val="5"/>
        <w:spacing w:before="134" w:line="360" w:lineRule="auto"/>
        <w:ind w:right="352" w:firstLine="960" w:firstLineChars="400"/>
        <w:rPr>
          <w:color w:val="auto"/>
          <w:sz w:val="24"/>
          <w:szCs w:val="24"/>
        </w:rPr>
      </w:pPr>
      <w:r>
        <w:rPr>
          <w:color w:val="auto"/>
          <w:sz w:val="24"/>
          <w:szCs w:val="24"/>
        </w:rPr>
        <w:t>6). 如发现企业发生以下变化，应立即报告公司审核部处理;</w:t>
      </w:r>
    </w:p>
    <w:p w14:paraId="58709BAD">
      <w:pPr>
        <w:pStyle w:val="5"/>
        <w:spacing w:before="134" w:line="360" w:lineRule="auto"/>
        <w:ind w:right="352" w:firstLine="1680" w:firstLineChars="700"/>
        <w:rPr>
          <w:color w:val="auto"/>
          <w:sz w:val="24"/>
          <w:szCs w:val="24"/>
        </w:rPr>
      </w:pPr>
      <w:r>
        <w:rPr>
          <w:color w:val="auto"/>
          <w:sz w:val="24"/>
          <w:szCs w:val="24"/>
        </w:rPr>
        <w:t>① 法律地位、经营状况、组织状态或所有权发生变化；</w:t>
      </w:r>
    </w:p>
    <w:p w14:paraId="4E18C50B">
      <w:pPr>
        <w:pStyle w:val="5"/>
        <w:spacing w:before="134" w:line="360" w:lineRule="auto"/>
        <w:ind w:right="352" w:firstLine="1680" w:firstLineChars="700"/>
        <w:rPr>
          <w:color w:val="auto"/>
          <w:sz w:val="24"/>
          <w:szCs w:val="24"/>
        </w:rPr>
      </w:pPr>
      <w:r>
        <w:rPr>
          <w:color w:val="auto"/>
          <w:sz w:val="24"/>
          <w:szCs w:val="24"/>
        </w:rPr>
        <w:t>② 组织和管理层、经营地址及场所发生变化；</w:t>
      </w:r>
    </w:p>
    <w:p w14:paraId="4C322A3B">
      <w:pPr>
        <w:pStyle w:val="5"/>
        <w:spacing w:before="134" w:line="360" w:lineRule="auto"/>
        <w:ind w:right="352" w:firstLine="1680" w:firstLineChars="700"/>
        <w:rPr>
          <w:color w:val="auto"/>
          <w:sz w:val="24"/>
          <w:szCs w:val="24"/>
        </w:rPr>
      </w:pPr>
      <w:r>
        <w:rPr>
          <w:color w:val="auto"/>
          <w:sz w:val="24"/>
          <w:szCs w:val="24"/>
        </w:rPr>
        <w:t>③ 获证管理体系覆盖的运作范围、管理体系和过程发生的重大变更；</w:t>
      </w:r>
    </w:p>
    <w:p w14:paraId="27D95742">
      <w:pPr>
        <w:pStyle w:val="5"/>
        <w:spacing w:before="175" w:line="360" w:lineRule="auto"/>
        <w:ind w:left="542" w:firstLine="480" w:firstLineChars="200"/>
        <w:rPr>
          <w:color w:val="auto"/>
          <w:sz w:val="24"/>
          <w:szCs w:val="24"/>
        </w:rPr>
      </w:pPr>
      <w:r>
        <w:rPr>
          <w:color w:val="auto"/>
          <w:sz w:val="24"/>
          <w:szCs w:val="24"/>
        </w:rPr>
        <w:t>④ 其他变更。</w:t>
      </w:r>
    </w:p>
    <w:p w14:paraId="42697DB8">
      <w:pPr>
        <w:spacing w:before="43"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08 条 再认证审核</w:t>
      </w:r>
    </w:p>
    <w:p w14:paraId="47B6F93B">
      <w:pPr>
        <w:spacing w:before="43" w:line="360" w:lineRule="auto"/>
        <w:ind w:left="113" w:firstLine="480" w:firstLineChars="200"/>
        <w:rPr>
          <w:rFonts w:ascii="黑体" w:hAnsi="黑体" w:eastAsia="黑体"/>
          <w:bCs/>
          <w:color w:val="auto"/>
          <w:sz w:val="24"/>
          <w:szCs w:val="24"/>
        </w:rPr>
      </w:pPr>
      <w:r>
        <w:rPr>
          <w:color w:val="auto"/>
          <w:sz w:val="24"/>
          <w:szCs w:val="24"/>
        </w:rPr>
        <w:t>1、 再认证审核的策划</w:t>
      </w:r>
    </w:p>
    <w:p w14:paraId="2EEF1383">
      <w:pPr>
        <w:pStyle w:val="5"/>
        <w:spacing w:before="43" w:line="360" w:lineRule="auto"/>
        <w:ind w:left="112" w:right="286" w:firstLine="480" w:firstLineChars="200"/>
        <w:rPr>
          <w:color w:val="auto"/>
          <w:sz w:val="24"/>
          <w:szCs w:val="24"/>
        </w:rPr>
      </w:pPr>
      <w:r>
        <w:rPr>
          <w:color w:val="auto"/>
          <w:sz w:val="24"/>
          <w:szCs w:val="24"/>
        </w:rPr>
        <w:t>当管理体系、获证组织或管理体系的运作环境（如法律的变更）有重大变更时，再认证审核活动可能需要有第一阶段审核。</w:t>
      </w:r>
    </w:p>
    <w:p w14:paraId="625DE4E3">
      <w:pPr>
        <w:pStyle w:val="5"/>
        <w:spacing w:before="43" w:line="360" w:lineRule="auto"/>
        <w:ind w:left="112" w:right="286" w:firstLine="480" w:firstLineChars="200"/>
        <w:rPr>
          <w:color w:val="auto"/>
          <w:sz w:val="24"/>
          <w:szCs w:val="24"/>
        </w:rPr>
      </w:pPr>
      <w:r>
        <w:rPr>
          <w:color w:val="auto"/>
          <w:sz w:val="24"/>
          <w:szCs w:val="24"/>
        </w:rPr>
        <w:t>2</w:t>
      </w:r>
      <w:r>
        <w:rPr>
          <w:rFonts w:hint="eastAsia"/>
          <w:color w:val="auto"/>
          <w:sz w:val="24"/>
          <w:szCs w:val="24"/>
        </w:rPr>
        <w:t>、</w:t>
      </w:r>
      <w:r>
        <w:rPr>
          <w:color w:val="auto"/>
          <w:sz w:val="24"/>
          <w:szCs w:val="24"/>
        </w:rPr>
        <w:t>再认证审核应审核管理体系覆盖的所有过程和条款，同时应包括以下内容：</w:t>
      </w:r>
    </w:p>
    <w:p w14:paraId="2D978BC1">
      <w:pPr>
        <w:pStyle w:val="5"/>
        <w:spacing w:before="158" w:line="360" w:lineRule="auto"/>
        <w:ind w:left="641" w:firstLine="480" w:firstLineChars="200"/>
        <w:rPr>
          <w:color w:val="auto"/>
          <w:sz w:val="24"/>
          <w:szCs w:val="24"/>
        </w:rPr>
      </w:pPr>
      <w:r>
        <w:rPr>
          <w:color w:val="auto"/>
          <w:sz w:val="24"/>
          <w:szCs w:val="24"/>
        </w:rPr>
        <w:t>1）.结合内部和外部变更，确保整个管理体系的有效性，以及认证范围的持续相关性和适宜性；</w:t>
      </w:r>
    </w:p>
    <w:p w14:paraId="4E98F549">
      <w:pPr>
        <w:pStyle w:val="5"/>
        <w:spacing w:before="158" w:line="360" w:lineRule="auto"/>
        <w:ind w:left="641" w:firstLine="480" w:firstLineChars="200"/>
        <w:rPr>
          <w:color w:val="auto"/>
          <w:spacing w:val="-4"/>
          <w:sz w:val="24"/>
          <w:szCs w:val="24"/>
        </w:rPr>
      </w:pPr>
      <w:r>
        <w:rPr>
          <w:rFonts w:hint="eastAsia"/>
          <w:color w:val="auto"/>
          <w:sz w:val="24"/>
          <w:szCs w:val="24"/>
        </w:rPr>
        <w:t>2）.</w:t>
      </w:r>
      <w:r>
        <w:rPr>
          <w:color w:val="auto"/>
          <w:spacing w:val="-5"/>
          <w:sz w:val="24"/>
          <w:szCs w:val="24"/>
        </w:rPr>
        <w:t>对上一认证周期年管理体系运行绩效、是否持续满足管理体系运要求等进行审核，并证实体系的</w:t>
      </w:r>
      <w:r>
        <w:rPr>
          <w:color w:val="auto"/>
          <w:spacing w:val="-4"/>
          <w:sz w:val="24"/>
          <w:szCs w:val="24"/>
        </w:rPr>
        <w:t>有效性得到保持；</w:t>
      </w:r>
    </w:p>
    <w:p w14:paraId="4963F84B">
      <w:pPr>
        <w:pStyle w:val="5"/>
        <w:spacing w:before="158" w:line="360" w:lineRule="auto"/>
        <w:ind w:left="641" w:firstLine="480" w:firstLineChars="200"/>
        <w:rPr>
          <w:color w:val="auto"/>
          <w:spacing w:val="-3"/>
          <w:sz w:val="24"/>
          <w:szCs w:val="24"/>
        </w:rPr>
      </w:pPr>
      <w:r>
        <w:rPr>
          <w:color w:val="auto"/>
          <w:sz w:val="24"/>
          <w:szCs w:val="24"/>
        </w:rPr>
        <w:t>3</w:t>
      </w:r>
      <w:r>
        <w:rPr>
          <w:rFonts w:hint="eastAsia"/>
          <w:color w:val="auto"/>
          <w:sz w:val="24"/>
          <w:szCs w:val="24"/>
        </w:rPr>
        <w:t>）.</w:t>
      </w:r>
      <w:r>
        <w:rPr>
          <w:color w:val="auto"/>
          <w:spacing w:val="-3"/>
          <w:sz w:val="24"/>
          <w:szCs w:val="24"/>
        </w:rPr>
        <w:t>验证上次不符合项纠正措施的有效性，并在审核记录及审核报告中记录关注结</w:t>
      </w:r>
      <w:r>
        <w:rPr>
          <w:rFonts w:hint="eastAsia"/>
          <w:color w:val="auto"/>
          <w:spacing w:val="-3"/>
          <w:sz w:val="24"/>
          <w:szCs w:val="24"/>
        </w:rPr>
        <w:t>果。</w:t>
      </w:r>
    </w:p>
    <w:p w14:paraId="5F6C0A3E">
      <w:pPr>
        <w:pStyle w:val="5"/>
        <w:spacing w:before="158" w:line="360" w:lineRule="auto"/>
        <w:ind w:left="641" w:firstLine="480" w:firstLineChars="200"/>
        <w:rPr>
          <w:color w:val="auto"/>
          <w:sz w:val="24"/>
          <w:szCs w:val="24"/>
        </w:rPr>
      </w:pPr>
      <w:r>
        <w:rPr>
          <w:color w:val="auto"/>
          <w:sz w:val="24"/>
          <w:szCs w:val="24"/>
        </w:rPr>
        <w:t>4</w:t>
      </w:r>
      <w:r>
        <w:rPr>
          <w:rFonts w:hint="eastAsia"/>
          <w:color w:val="auto"/>
          <w:sz w:val="24"/>
          <w:szCs w:val="24"/>
        </w:rPr>
        <w:t>）.</w:t>
      </w:r>
      <w:r>
        <w:rPr>
          <w:color w:val="auto"/>
          <w:spacing w:val="-4"/>
          <w:sz w:val="24"/>
          <w:szCs w:val="24"/>
        </w:rPr>
        <w:t>审核组在再认证现场审核时，应审核到认证范围所覆盖的所有产品的生产</w:t>
      </w:r>
      <w:r>
        <w:rPr>
          <w:color w:val="auto"/>
          <w:sz w:val="24"/>
          <w:szCs w:val="24"/>
        </w:rPr>
        <w:t>/</w:t>
      </w:r>
      <w:r>
        <w:rPr>
          <w:color w:val="auto"/>
          <w:spacing w:val="-5"/>
          <w:sz w:val="24"/>
          <w:szCs w:val="24"/>
        </w:rPr>
        <w:t>服务过程；否则应对</w:t>
      </w:r>
      <w:r>
        <w:rPr>
          <w:color w:val="auto"/>
          <w:spacing w:val="-4"/>
          <w:sz w:val="24"/>
          <w:szCs w:val="24"/>
        </w:rPr>
        <w:t>认证范围内涉及的产品予以缩减并立即报告审核部。</w:t>
      </w:r>
    </w:p>
    <w:p w14:paraId="030947FA">
      <w:pPr>
        <w:pStyle w:val="5"/>
        <w:spacing w:before="2" w:line="360" w:lineRule="auto"/>
        <w:ind w:firstLine="480" w:firstLineChars="200"/>
        <w:rPr>
          <w:color w:val="auto"/>
          <w:sz w:val="24"/>
          <w:szCs w:val="24"/>
        </w:rPr>
      </w:pPr>
    </w:p>
    <w:p w14:paraId="6034BD8C">
      <w:pPr>
        <w:pStyle w:val="2"/>
        <w:spacing w:line="360" w:lineRule="auto"/>
        <w:ind w:left="113" w:firstLine="480" w:firstLineChars="200"/>
        <w:jc w:val="both"/>
        <w:rPr>
          <w:rFonts w:ascii="黑体" w:hAnsi="黑体" w:eastAsia="黑体"/>
          <w:b w:val="0"/>
          <w:color w:val="auto"/>
          <w:sz w:val="24"/>
          <w:szCs w:val="24"/>
        </w:rPr>
      </w:pPr>
      <w:r>
        <w:rPr>
          <w:rFonts w:ascii="黑体" w:hAnsi="黑体" w:eastAsia="黑体"/>
          <w:b w:val="0"/>
          <w:color w:val="auto"/>
          <w:sz w:val="24"/>
          <w:szCs w:val="24"/>
        </w:rPr>
        <w:t>第 09 条 不符合项判定与报告编写</w:t>
      </w:r>
    </w:p>
    <w:p w14:paraId="1F0ACE88">
      <w:pPr>
        <w:pStyle w:val="5"/>
        <w:spacing w:before="2"/>
        <w:rPr>
          <w:b/>
          <w:color w:val="auto"/>
        </w:rPr>
      </w:pPr>
    </w:p>
    <w:p w14:paraId="45BF3DDD">
      <w:pPr>
        <w:pStyle w:val="5"/>
        <w:spacing w:line="360" w:lineRule="auto"/>
        <w:ind w:right="488" w:firstLine="468" w:firstLineChars="200"/>
        <w:jc w:val="both"/>
        <w:rPr>
          <w:color w:val="auto"/>
          <w:sz w:val="24"/>
          <w:szCs w:val="24"/>
        </w:rPr>
      </w:pPr>
      <w:r>
        <w:rPr>
          <w:color w:val="auto"/>
          <w:spacing w:val="-3"/>
          <w:sz w:val="24"/>
          <w:szCs w:val="24"/>
        </w:rPr>
        <w:t>1</w:t>
      </w:r>
      <w:r>
        <w:rPr>
          <w:color w:val="auto"/>
          <w:spacing w:val="-15"/>
          <w:sz w:val="24"/>
          <w:szCs w:val="24"/>
        </w:rPr>
        <w:t>、在末次会议前，审核员对开具的不符合所涉及的审核证据、对应的审核准则、不符合标准的条款、</w:t>
      </w:r>
      <w:r>
        <w:rPr>
          <w:color w:val="auto"/>
          <w:spacing w:val="-7"/>
          <w:sz w:val="24"/>
          <w:szCs w:val="24"/>
        </w:rPr>
        <w:t>不符合的性质等进行认真复核。在正式开具不符合项前，审核组应将不符合事实与企业领导层或责任部</w:t>
      </w:r>
      <w:r>
        <w:rPr>
          <w:color w:val="auto"/>
          <w:spacing w:val="-4"/>
          <w:sz w:val="24"/>
          <w:szCs w:val="24"/>
        </w:rPr>
        <w:t>门进行沟通和确认，得到企业的理解，如企业领导层或责任部门对开具不符合项存在异议，审核组应对</w:t>
      </w:r>
      <w:r>
        <w:rPr>
          <w:color w:val="auto"/>
          <w:spacing w:val="-3"/>
          <w:sz w:val="24"/>
          <w:szCs w:val="24"/>
        </w:rPr>
        <w:t>不符合事实及时予以澄清和核实，不可盲目开具不符合项。审核组长负责对不符合项进行最终复核并汇</w:t>
      </w:r>
      <w:r>
        <w:rPr>
          <w:color w:val="auto"/>
          <w:spacing w:val="-12"/>
          <w:sz w:val="24"/>
          <w:szCs w:val="24"/>
        </w:rPr>
        <w:t>总填写《不符合项报告》。</w:t>
      </w:r>
    </w:p>
    <w:p w14:paraId="7C5274E0">
      <w:pPr>
        <w:pStyle w:val="5"/>
        <w:spacing w:before="116" w:line="360" w:lineRule="auto"/>
        <w:ind w:left="113" w:right="306" w:firstLine="468" w:firstLineChars="200"/>
        <w:rPr>
          <w:color w:val="auto"/>
          <w:sz w:val="24"/>
          <w:szCs w:val="24"/>
        </w:rPr>
      </w:pPr>
      <w:r>
        <w:rPr>
          <w:color w:val="auto"/>
          <w:spacing w:val="-3"/>
          <w:sz w:val="24"/>
          <w:szCs w:val="24"/>
        </w:rPr>
        <w:t>2</w:t>
      </w:r>
      <w:r>
        <w:rPr>
          <w:color w:val="auto"/>
          <w:spacing w:val="-16"/>
          <w:sz w:val="24"/>
          <w:szCs w:val="24"/>
        </w:rPr>
        <w:t>、不符合报告经确认无异议后，应在末次会议上宣读并要求企业总经理或其授权人在《不符合项报告》</w:t>
      </w:r>
      <w:r>
        <w:rPr>
          <w:color w:val="auto"/>
          <w:spacing w:val="-7"/>
          <w:sz w:val="24"/>
          <w:szCs w:val="24"/>
        </w:rPr>
        <w:t>上签字确认。</w:t>
      </w:r>
    </w:p>
    <w:p w14:paraId="55B6AB14">
      <w:pPr>
        <w:pStyle w:val="5"/>
        <w:spacing w:before="11"/>
        <w:rPr>
          <w:color w:val="auto"/>
          <w:sz w:val="25"/>
        </w:rPr>
      </w:pPr>
    </w:p>
    <w:p w14:paraId="568F3DC0">
      <w:pPr>
        <w:spacing w:before="1" w:line="360" w:lineRule="auto"/>
        <w:ind w:left="113" w:firstLine="372" w:firstLineChars="200"/>
        <w:rPr>
          <w:rFonts w:ascii="黑体" w:hAnsi="黑体" w:eastAsia="黑体"/>
          <w:bCs/>
          <w:color w:val="auto"/>
          <w:sz w:val="24"/>
          <w:szCs w:val="24"/>
        </w:rPr>
      </w:pPr>
      <w:r>
        <w:rPr>
          <w:rFonts w:ascii="黑体" w:hAnsi="黑体" w:eastAsia="黑体"/>
          <w:bCs/>
          <w:color w:val="auto"/>
          <w:spacing w:val="-27"/>
          <w:sz w:val="24"/>
          <w:szCs w:val="24"/>
        </w:rPr>
        <w:t xml:space="preserve">第 </w:t>
      </w:r>
      <w:r>
        <w:rPr>
          <w:rFonts w:ascii="黑体" w:hAnsi="黑体" w:eastAsia="黑体"/>
          <w:bCs/>
          <w:color w:val="auto"/>
          <w:sz w:val="24"/>
          <w:szCs w:val="24"/>
        </w:rPr>
        <w:t>10</w:t>
      </w:r>
      <w:r>
        <w:rPr>
          <w:rFonts w:ascii="黑体" w:hAnsi="黑体" w:eastAsia="黑体"/>
          <w:bCs/>
          <w:color w:val="auto"/>
          <w:spacing w:val="3"/>
          <w:sz w:val="24"/>
          <w:szCs w:val="24"/>
        </w:rPr>
        <w:t xml:space="preserve"> </w:t>
      </w:r>
      <w:r>
        <w:rPr>
          <w:rFonts w:ascii="黑体" w:hAnsi="黑体" w:eastAsia="黑体"/>
          <w:bCs/>
          <w:color w:val="auto"/>
          <w:spacing w:val="-5"/>
          <w:sz w:val="24"/>
          <w:szCs w:val="24"/>
        </w:rPr>
        <w:t>条 审核结论</w:t>
      </w:r>
    </w:p>
    <w:p w14:paraId="13414F3C">
      <w:pPr>
        <w:pStyle w:val="5"/>
        <w:spacing w:before="3"/>
        <w:rPr>
          <w:b/>
          <w:color w:val="auto"/>
          <w:sz w:val="19"/>
        </w:rPr>
      </w:pPr>
    </w:p>
    <w:p w14:paraId="30C12971">
      <w:pPr>
        <w:pStyle w:val="5"/>
        <w:spacing w:line="360" w:lineRule="auto"/>
        <w:ind w:left="112" w:right="409" w:firstLine="412" w:firstLineChars="200"/>
        <w:rPr>
          <w:color w:val="auto"/>
          <w:sz w:val="24"/>
          <w:szCs w:val="24"/>
        </w:rPr>
      </w:pPr>
      <w:r>
        <w:rPr>
          <w:color w:val="auto"/>
          <w:spacing w:val="-17"/>
          <w:sz w:val="24"/>
          <w:szCs w:val="24"/>
        </w:rPr>
        <w:t>末次会议前，审核组通过审核收集的管理体系运行的客观证据，分析、评价企业管理体系的符合性、</w:t>
      </w:r>
      <w:r>
        <w:rPr>
          <w:color w:val="auto"/>
          <w:spacing w:val="-7"/>
          <w:sz w:val="24"/>
          <w:szCs w:val="24"/>
        </w:rPr>
        <w:t>充分性和有效性，从正面和负面两方面对其管理体系进行综合评价：</w:t>
      </w:r>
    </w:p>
    <w:p w14:paraId="1806556A">
      <w:pPr>
        <w:pStyle w:val="5"/>
        <w:spacing w:line="360" w:lineRule="auto"/>
        <w:ind w:left="112" w:right="432" w:firstLine="480" w:firstLineChars="200"/>
        <w:jc w:val="both"/>
        <w:rPr>
          <w:color w:val="auto"/>
          <w:sz w:val="24"/>
          <w:szCs w:val="24"/>
        </w:rPr>
      </w:pPr>
      <w:r>
        <w:rPr>
          <w:color w:val="auto"/>
          <w:sz w:val="24"/>
          <w:szCs w:val="24"/>
        </w:rPr>
        <w:t>1、初审第一阶段审核结论：企业是否已按约定标准建立并运作了一个管理体系，并依此确认企业对审核的准备程度；为认证机构第二阶段审核的顺利实施作充分的准备工作：为策划第二阶段审核提供关注点；审查第二阶段审核所配置资源（包括审核组能力和审核员时间）的充分性。</w:t>
      </w:r>
    </w:p>
    <w:p w14:paraId="74373F46">
      <w:pPr>
        <w:pStyle w:val="5"/>
        <w:spacing w:before="50" w:line="360" w:lineRule="auto"/>
        <w:ind w:left="430" w:firstLine="480" w:firstLineChars="200"/>
        <w:rPr>
          <w:color w:val="auto"/>
          <w:sz w:val="24"/>
          <w:szCs w:val="24"/>
        </w:rPr>
      </w:pPr>
      <w:r>
        <w:rPr>
          <w:color w:val="auto"/>
          <w:sz w:val="24"/>
          <w:szCs w:val="24"/>
        </w:rPr>
        <w:t>2、初审二阶段审核结论：无条件推荐/有条件推荐/不予推荐认证注册。</w:t>
      </w:r>
    </w:p>
    <w:p w14:paraId="5E68F5F7">
      <w:pPr>
        <w:pStyle w:val="5"/>
        <w:spacing w:before="172" w:line="360" w:lineRule="auto"/>
        <w:ind w:left="430" w:firstLine="480" w:firstLineChars="200"/>
        <w:rPr>
          <w:color w:val="auto"/>
          <w:sz w:val="24"/>
          <w:szCs w:val="24"/>
        </w:rPr>
      </w:pPr>
      <w:r>
        <w:rPr>
          <w:color w:val="auto"/>
          <w:sz w:val="24"/>
          <w:szCs w:val="24"/>
        </w:rPr>
        <w:t>3、再认证审核结论：无条件推荐/有条件推荐/不予推荐再认证换证。</w:t>
      </w:r>
    </w:p>
    <w:p w14:paraId="2F0E91FF">
      <w:pPr>
        <w:pStyle w:val="5"/>
        <w:spacing w:before="134" w:line="360" w:lineRule="auto"/>
        <w:ind w:left="430" w:firstLine="480" w:firstLineChars="200"/>
        <w:rPr>
          <w:color w:val="auto"/>
          <w:sz w:val="24"/>
          <w:szCs w:val="24"/>
        </w:rPr>
      </w:pPr>
      <w:r>
        <w:rPr>
          <w:color w:val="auto"/>
          <w:sz w:val="24"/>
          <w:szCs w:val="24"/>
        </w:rPr>
        <w:t>4、监督审核结论：无条件推荐/有条件推荐/不予推荐保持认证注册资格。</w:t>
      </w:r>
    </w:p>
    <w:p w14:paraId="42166EA3">
      <w:pPr>
        <w:pStyle w:val="5"/>
        <w:spacing w:before="163" w:line="360" w:lineRule="auto"/>
        <w:ind w:left="430" w:firstLine="480" w:firstLineChars="200"/>
        <w:rPr>
          <w:color w:val="auto"/>
          <w:sz w:val="24"/>
          <w:szCs w:val="24"/>
        </w:rPr>
      </w:pPr>
      <w:r>
        <w:rPr>
          <w:color w:val="auto"/>
          <w:sz w:val="24"/>
          <w:szCs w:val="24"/>
        </w:rPr>
        <w:t>5、 扩大/缩小认证范围审核结论：评定扩大/缩小的部分是否具备认证注册的条件。</w:t>
      </w:r>
    </w:p>
    <w:p w14:paraId="6A1463A0">
      <w:pPr>
        <w:pStyle w:val="5"/>
        <w:spacing w:before="163" w:line="360" w:lineRule="auto"/>
        <w:ind w:left="430" w:firstLine="468" w:firstLineChars="200"/>
        <w:rPr>
          <w:color w:val="auto"/>
          <w:sz w:val="24"/>
          <w:szCs w:val="24"/>
        </w:rPr>
      </w:pPr>
      <w:r>
        <w:rPr>
          <w:color w:val="auto"/>
          <w:spacing w:val="-3"/>
          <w:sz w:val="24"/>
          <w:szCs w:val="24"/>
        </w:rPr>
        <w:t>6</w:t>
      </w:r>
      <w:r>
        <w:rPr>
          <w:color w:val="auto"/>
          <w:spacing w:val="-6"/>
          <w:sz w:val="24"/>
          <w:szCs w:val="24"/>
        </w:rPr>
        <w:t>、应明确告知企业该审核结论仅为现场审核所得出的推荐性审核结论，而不是最终的审核结论。最终</w:t>
      </w:r>
      <w:r>
        <w:rPr>
          <w:color w:val="auto"/>
          <w:spacing w:val="-4"/>
          <w:sz w:val="24"/>
          <w:szCs w:val="24"/>
        </w:rPr>
        <w:t>审核结论和认证结论将由公司审核部做出。</w:t>
      </w:r>
    </w:p>
    <w:p w14:paraId="30F8E739">
      <w:pPr>
        <w:pStyle w:val="5"/>
        <w:spacing w:before="163" w:line="360" w:lineRule="auto"/>
        <w:ind w:left="430" w:firstLine="480" w:firstLineChars="200"/>
        <w:rPr>
          <w:color w:val="auto"/>
          <w:sz w:val="24"/>
          <w:szCs w:val="24"/>
        </w:rPr>
      </w:pPr>
      <w:r>
        <w:rPr>
          <w:color w:val="auto"/>
          <w:sz w:val="24"/>
          <w:szCs w:val="24"/>
        </w:rPr>
        <w:t>7</w:t>
      </w:r>
      <w:r>
        <w:rPr>
          <w:color w:val="auto"/>
          <w:spacing w:val="-11"/>
          <w:sz w:val="24"/>
          <w:szCs w:val="24"/>
        </w:rPr>
        <w:t>、《证书内容确认单》：审核组应在首次会议上告知受审核方证书确认单的内容</w:t>
      </w:r>
      <w:r>
        <w:rPr>
          <w:color w:val="auto"/>
          <w:sz w:val="24"/>
          <w:szCs w:val="24"/>
        </w:rPr>
        <w:t>（包括英文翻译</w:t>
      </w:r>
      <w:r>
        <w:rPr>
          <w:color w:val="auto"/>
          <w:spacing w:val="-105"/>
          <w:sz w:val="24"/>
          <w:szCs w:val="24"/>
        </w:rPr>
        <w:t>）</w:t>
      </w:r>
      <w:r>
        <w:rPr>
          <w:color w:val="auto"/>
          <w:spacing w:val="-4"/>
          <w:sz w:val="24"/>
          <w:szCs w:val="24"/>
        </w:rPr>
        <w:t>，并在</w:t>
      </w:r>
      <w:r>
        <w:rPr>
          <w:color w:val="auto"/>
          <w:spacing w:val="-6"/>
          <w:sz w:val="24"/>
          <w:szCs w:val="24"/>
        </w:rPr>
        <w:t>审核过程中收集符合性证据，有任何可能的变更，都应得到及时解决，在末次会议前由受审核方和审</w:t>
      </w:r>
      <w:r>
        <w:rPr>
          <w:color w:val="auto"/>
          <w:spacing w:val="-4"/>
          <w:sz w:val="24"/>
          <w:szCs w:val="24"/>
        </w:rPr>
        <w:t>核组予以最终确认。</w:t>
      </w:r>
    </w:p>
    <w:p w14:paraId="6D5BA9AD">
      <w:pPr>
        <w:pStyle w:val="5"/>
        <w:spacing w:before="4"/>
        <w:rPr>
          <w:color w:val="auto"/>
          <w:sz w:val="15"/>
        </w:rPr>
      </w:pPr>
    </w:p>
    <w:p w14:paraId="5252E71E">
      <w:pPr>
        <w:spacing w:before="72" w:line="360" w:lineRule="auto"/>
        <w:ind w:left="113" w:firstLine="480" w:firstLineChars="200"/>
        <w:rPr>
          <w:rFonts w:ascii="黑体" w:hAnsi="黑体" w:eastAsia="黑体"/>
          <w:bCs/>
          <w:color w:val="auto"/>
          <w:sz w:val="24"/>
          <w:szCs w:val="24"/>
        </w:rPr>
      </w:pPr>
    </w:p>
    <w:p w14:paraId="25B99C16">
      <w:pPr>
        <w:spacing w:before="72"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11 条 末次会议</w:t>
      </w:r>
    </w:p>
    <w:p w14:paraId="29236423">
      <w:pPr>
        <w:pStyle w:val="5"/>
        <w:spacing w:before="186" w:line="360" w:lineRule="auto"/>
        <w:ind w:left="112" w:right="308" w:firstLine="480" w:firstLineChars="200"/>
        <w:rPr>
          <w:color w:val="auto"/>
          <w:sz w:val="24"/>
          <w:szCs w:val="24"/>
        </w:rPr>
      </w:pPr>
      <w:r>
        <w:rPr>
          <w:color w:val="auto"/>
          <w:sz w:val="24"/>
          <w:szCs w:val="24"/>
        </w:rPr>
        <w:t>1</w:t>
      </w:r>
      <w:r>
        <w:rPr>
          <w:color w:val="auto"/>
          <w:spacing w:val="-7"/>
          <w:sz w:val="24"/>
          <w:szCs w:val="24"/>
        </w:rPr>
        <w:t xml:space="preserve">、 末次会议应由审核组长主持，会议目的是提出审核结论，包括关于认证的推荐性意见；一般为 </w:t>
      </w:r>
      <w:r>
        <w:rPr>
          <w:color w:val="auto"/>
          <w:sz w:val="24"/>
          <w:szCs w:val="24"/>
        </w:rPr>
        <w:t>30</w:t>
      </w:r>
      <w:r>
        <w:rPr>
          <w:color w:val="auto"/>
          <w:spacing w:val="9"/>
          <w:sz w:val="24"/>
          <w:szCs w:val="24"/>
        </w:rPr>
        <w:t xml:space="preserve"> 分</w:t>
      </w:r>
      <w:r>
        <w:rPr>
          <w:color w:val="auto"/>
          <w:spacing w:val="3"/>
          <w:sz w:val="24"/>
          <w:szCs w:val="24"/>
        </w:rPr>
        <w:t>钟左右；</w:t>
      </w:r>
    </w:p>
    <w:p w14:paraId="7B218682">
      <w:pPr>
        <w:pStyle w:val="5"/>
        <w:spacing w:line="360" w:lineRule="auto"/>
        <w:ind w:left="112" w:firstLine="480" w:firstLineChars="200"/>
        <w:rPr>
          <w:color w:val="auto"/>
          <w:sz w:val="24"/>
          <w:szCs w:val="24"/>
        </w:rPr>
      </w:pPr>
      <w:r>
        <w:rPr>
          <w:color w:val="auto"/>
          <w:sz w:val="24"/>
          <w:szCs w:val="24"/>
        </w:rPr>
        <w:t>2、 末次会议参加人员：审核组成员、最高管理者或其授权人、管理者代表、主要部门负责人。</w:t>
      </w:r>
    </w:p>
    <w:p w14:paraId="5698DC78">
      <w:pPr>
        <w:pStyle w:val="5"/>
        <w:numPr>
          <w:ilvl w:val="0"/>
          <w:numId w:val="2"/>
        </w:numPr>
        <w:spacing w:before="89" w:line="360" w:lineRule="auto"/>
        <w:rPr>
          <w:color w:val="auto"/>
          <w:sz w:val="24"/>
          <w:szCs w:val="24"/>
        </w:rPr>
      </w:pPr>
      <w:r>
        <w:rPr>
          <w:color w:val="auto"/>
          <w:sz w:val="24"/>
          <w:szCs w:val="24"/>
        </w:rPr>
        <w:t xml:space="preserve"> 末次会议应签到，签到表使用 《末次会议签到表》；</w:t>
      </w:r>
    </w:p>
    <w:p w14:paraId="26662F7F">
      <w:pPr>
        <w:pStyle w:val="5"/>
        <w:numPr>
          <w:ilvl w:val="0"/>
          <w:numId w:val="2"/>
        </w:numPr>
        <w:spacing w:before="53" w:line="360" w:lineRule="auto"/>
        <w:rPr>
          <w:color w:val="auto"/>
          <w:sz w:val="24"/>
          <w:szCs w:val="24"/>
        </w:rPr>
      </w:pPr>
      <w:r>
        <w:rPr>
          <w:color w:val="auto"/>
          <w:sz w:val="24"/>
          <w:szCs w:val="24"/>
        </w:rPr>
        <w:t xml:space="preserve"> 会议内容应包括下列要素，详略程度应与企业对审核过程的熟悉程度保持一致：</w:t>
      </w:r>
    </w:p>
    <w:p w14:paraId="5A001E4C">
      <w:pPr>
        <w:pStyle w:val="5"/>
        <w:spacing w:before="53" w:line="360" w:lineRule="auto"/>
        <w:ind w:left="952"/>
        <w:rPr>
          <w:color w:val="auto"/>
          <w:sz w:val="24"/>
          <w:szCs w:val="24"/>
        </w:rPr>
      </w:pPr>
      <w:r>
        <w:rPr>
          <w:color w:val="auto"/>
          <w:spacing w:val="-3"/>
          <w:sz w:val="24"/>
          <w:szCs w:val="24"/>
        </w:rPr>
        <w:t>1</w:t>
      </w:r>
      <w:r>
        <w:rPr>
          <w:color w:val="auto"/>
          <w:spacing w:val="-104"/>
          <w:sz w:val="24"/>
          <w:szCs w:val="24"/>
        </w:rPr>
        <w:t>）</w:t>
      </w:r>
      <w:r>
        <w:rPr>
          <w:color w:val="auto"/>
          <w:spacing w:val="-12"/>
          <w:sz w:val="24"/>
          <w:szCs w:val="24"/>
        </w:rPr>
        <w:t>.首先感谢企业对审核组工作的支持和配合，以及交通食宿等方面的安排，使得审核工作顺利完成；</w:t>
      </w:r>
    </w:p>
    <w:p w14:paraId="1896483C">
      <w:pPr>
        <w:pStyle w:val="5"/>
        <w:spacing w:before="53" w:line="360" w:lineRule="auto"/>
        <w:ind w:left="952"/>
        <w:rPr>
          <w:color w:val="auto"/>
          <w:sz w:val="24"/>
          <w:szCs w:val="24"/>
        </w:rPr>
      </w:pPr>
      <w:r>
        <w:rPr>
          <w:color w:val="auto"/>
          <w:sz w:val="24"/>
          <w:szCs w:val="24"/>
        </w:rPr>
        <w:t>2）.重申审核目的和审核准则；宣读并确认《证书内容确认单》的所有内容(包括中文、英文)；</w:t>
      </w:r>
    </w:p>
    <w:p w14:paraId="05A723D3">
      <w:pPr>
        <w:pStyle w:val="5"/>
        <w:spacing w:before="53" w:line="360" w:lineRule="auto"/>
        <w:ind w:left="952"/>
        <w:rPr>
          <w:color w:val="auto"/>
          <w:sz w:val="24"/>
          <w:szCs w:val="24"/>
        </w:rPr>
      </w:pPr>
      <w:r>
        <w:rPr>
          <w:color w:val="auto"/>
          <w:spacing w:val="-3"/>
          <w:sz w:val="24"/>
          <w:szCs w:val="24"/>
        </w:rPr>
        <w:t>3</w:t>
      </w:r>
      <w:r>
        <w:rPr>
          <w:color w:val="auto"/>
          <w:spacing w:val="-104"/>
          <w:sz w:val="24"/>
          <w:szCs w:val="24"/>
        </w:rPr>
        <w:t>）</w:t>
      </w:r>
      <w:r>
        <w:rPr>
          <w:color w:val="auto"/>
          <w:spacing w:val="-12"/>
          <w:sz w:val="24"/>
          <w:szCs w:val="24"/>
        </w:rPr>
        <w:t>.</w:t>
      </w:r>
      <w:r>
        <w:rPr>
          <w:color w:val="auto"/>
          <w:spacing w:val="-3"/>
          <w:sz w:val="24"/>
          <w:szCs w:val="24"/>
        </w:rPr>
        <w:t>对审核过程进行总结陈述，报告审核发现。详细说明书面不符合发生的客观审核证据、依据的审核准则，不符合的性质及纠正要求。企业应就审核中发现的不符合的纠正和纠正措施提出时间计划表；</w:t>
      </w:r>
    </w:p>
    <w:p w14:paraId="546F0F3C">
      <w:pPr>
        <w:pStyle w:val="5"/>
        <w:spacing w:before="53" w:line="360" w:lineRule="auto"/>
        <w:ind w:left="952"/>
        <w:rPr>
          <w:color w:val="auto"/>
          <w:sz w:val="24"/>
          <w:szCs w:val="24"/>
        </w:rPr>
      </w:pPr>
      <w:r>
        <w:rPr>
          <w:color w:val="auto"/>
          <w:spacing w:val="-3"/>
          <w:sz w:val="24"/>
          <w:szCs w:val="24"/>
        </w:rPr>
        <w:t>4</w:t>
      </w:r>
      <w:r>
        <w:rPr>
          <w:color w:val="auto"/>
          <w:spacing w:val="-104"/>
          <w:sz w:val="24"/>
          <w:szCs w:val="24"/>
        </w:rPr>
        <w:t>）</w:t>
      </w:r>
      <w:r>
        <w:rPr>
          <w:color w:val="auto"/>
          <w:spacing w:val="-12"/>
          <w:sz w:val="24"/>
          <w:szCs w:val="24"/>
        </w:rPr>
        <w:t>.</w:t>
      </w:r>
      <w:r>
        <w:rPr>
          <w:color w:val="auto"/>
          <w:spacing w:val="-3"/>
          <w:sz w:val="24"/>
          <w:szCs w:val="24"/>
        </w:rPr>
        <w:t>宣布现场审核结论。应明确告知企业该审核结论仅为现场审核所得出的审核结论，而不是最终的认证结论；</w:t>
      </w:r>
    </w:p>
    <w:p w14:paraId="5F3B5DE1">
      <w:pPr>
        <w:pStyle w:val="5"/>
        <w:spacing w:before="53" w:line="360" w:lineRule="auto"/>
        <w:ind w:left="952"/>
        <w:rPr>
          <w:color w:val="auto"/>
          <w:sz w:val="24"/>
          <w:szCs w:val="24"/>
        </w:rPr>
      </w:pPr>
      <w:r>
        <w:rPr>
          <w:color w:val="auto"/>
          <w:spacing w:val="-3"/>
          <w:sz w:val="24"/>
          <w:szCs w:val="24"/>
        </w:rPr>
        <w:t>5</w:t>
      </w:r>
      <w:r>
        <w:rPr>
          <w:color w:val="auto"/>
          <w:spacing w:val="-104"/>
          <w:sz w:val="24"/>
          <w:szCs w:val="24"/>
        </w:rPr>
        <w:t>）</w:t>
      </w:r>
      <w:r>
        <w:rPr>
          <w:color w:val="auto"/>
          <w:spacing w:val="-12"/>
          <w:sz w:val="24"/>
          <w:szCs w:val="24"/>
        </w:rPr>
        <w:t>.</w:t>
      </w:r>
      <w:r>
        <w:rPr>
          <w:color w:val="auto"/>
          <w:spacing w:val="-3"/>
          <w:sz w:val="24"/>
          <w:szCs w:val="24"/>
        </w:rPr>
        <w:t>介绍获证后可能发生的稽查和监管：</w:t>
      </w:r>
    </w:p>
    <w:p w14:paraId="2E381A6C">
      <w:pPr>
        <w:pStyle w:val="21"/>
        <w:numPr>
          <w:ilvl w:val="1"/>
          <w:numId w:val="3"/>
        </w:numPr>
        <w:tabs>
          <w:tab w:val="left" w:pos="2213"/>
          <w:tab w:val="left" w:pos="2214"/>
        </w:tabs>
        <w:spacing w:before="74" w:line="360" w:lineRule="auto"/>
        <w:ind w:firstLine="472" w:firstLineChars="200"/>
        <w:rPr>
          <w:color w:val="auto"/>
          <w:sz w:val="24"/>
          <w:szCs w:val="24"/>
        </w:rPr>
      </w:pPr>
      <w:r>
        <w:rPr>
          <w:color w:val="auto"/>
          <w:spacing w:val="-2"/>
          <w:sz w:val="24"/>
          <w:szCs w:val="24"/>
        </w:rPr>
        <w:t>公司内部稽查；</w:t>
      </w:r>
    </w:p>
    <w:p w14:paraId="0207B571">
      <w:pPr>
        <w:pStyle w:val="21"/>
        <w:numPr>
          <w:ilvl w:val="1"/>
          <w:numId w:val="3"/>
        </w:numPr>
        <w:tabs>
          <w:tab w:val="left" w:pos="2213"/>
          <w:tab w:val="left" w:pos="2214"/>
        </w:tabs>
        <w:spacing w:before="76" w:line="360" w:lineRule="auto"/>
        <w:ind w:firstLine="468" w:firstLineChars="200"/>
        <w:rPr>
          <w:color w:val="auto"/>
          <w:sz w:val="24"/>
          <w:szCs w:val="24"/>
        </w:rPr>
      </w:pPr>
      <w:r>
        <w:rPr>
          <w:color w:val="auto"/>
          <w:spacing w:val="-3"/>
          <w:sz w:val="24"/>
          <w:szCs w:val="24"/>
        </w:rPr>
        <w:t>认监委、认可委的检查；</w:t>
      </w:r>
    </w:p>
    <w:p w14:paraId="1D713601">
      <w:pPr>
        <w:pStyle w:val="21"/>
        <w:numPr>
          <w:ilvl w:val="1"/>
          <w:numId w:val="3"/>
        </w:numPr>
        <w:tabs>
          <w:tab w:val="left" w:pos="2214"/>
        </w:tabs>
        <w:spacing w:before="168" w:line="360" w:lineRule="auto"/>
        <w:ind w:firstLine="468" w:firstLineChars="200"/>
        <w:jc w:val="both"/>
        <w:rPr>
          <w:color w:val="auto"/>
          <w:sz w:val="24"/>
          <w:szCs w:val="24"/>
        </w:rPr>
      </w:pPr>
      <w:r>
        <w:rPr>
          <w:rFonts w:hint="eastAsia"/>
          <w:color w:val="auto"/>
          <w:spacing w:val="-3"/>
          <w:sz w:val="24"/>
          <w:szCs w:val="24"/>
        </w:rPr>
        <w:t>市场</w:t>
      </w:r>
      <w:r>
        <w:rPr>
          <w:color w:val="auto"/>
          <w:spacing w:val="-3"/>
          <w:sz w:val="24"/>
          <w:szCs w:val="24"/>
        </w:rPr>
        <w:t>总局和地方</w:t>
      </w:r>
      <w:r>
        <w:rPr>
          <w:rFonts w:hint="eastAsia"/>
          <w:color w:val="auto"/>
          <w:spacing w:val="-3"/>
          <w:sz w:val="24"/>
          <w:szCs w:val="24"/>
        </w:rPr>
        <w:t>市场</w:t>
      </w:r>
      <w:r>
        <w:rPr>
          <w:color w:val="auto"/>
          <w:spacing w:val="-3"/>
          <w:sz w:val="24"/>
          <w:szCs w:val="24"/>
        </w:rPr>
        <w:t>局的认证有效性检查；</w:t>
      </w:r>
    </w:p>
    <w:p w14:paraId="51E9B649">
      <w:pPr>
        <w:pStyle w:val="5"/>
        <w:spacing w:before="127" w:line="360" w:lineRule="auto"/>
        <w:ind w:left="112" w:right="390" w:firstLine="492" w:firstLineChars="200"/>
        <w:jc w:val="both"/>
        <w:rPr>
          <w:color w:val="auto"/>
          <w:spacing w:val="-5"/>
          <w:sz w:val="24"/>
          <w:szCs w:val="24"/>
        </w:rPr>
      </w:pPr>
      <w:r>
        <w:rPr>
          <w:color w:val="auto"/>
          <w:spacing w:val="3"/>
          <w:sz w:val="24"/>
          <w:szCs w:val="24"/>
        </w:rPr>
        <w:t xml:space="preserve">其中 </w:t>
      </w:r>
      <w:r>
        <w:rPr>
          <w:color w:val="auto"/>
          <w:sz w:val="24"/>
          <w:szCs w:val="24"/>
        </w:rPr>
        <w:t>b</w:t>
      </w:r>
      <w:r>
        <w:rPr>
          <w:color w:val="auto"/>
          <w:spacing w:val="6"/>
          <w:sz w:val="24"/>
          <w:szCs w:val="24"/>
        </w:rPr>
        <w:t xml:space="preserve"> 和 </w:t>
      </w:r>
      <w:r>
        <w:rPr>
          <w:color w:val="auto"/>
          <w:sz w:val="24"/>
          <w:szCs w:val="24"/>
        </w:rPr>
        <w:t>c</w:t>
      </w:r>
      <w:r>
        <w:rPr>
          <w:color w:val="auto"/>
          <w:spacing w:val="-3"/>
          <w:sz w:val="24"/>
          <w:szCs w:val="24"/>
        </w:rPr>
        <w:t xml:space="preserve"> 属于政府行政部门监管检查，检查前不会做任何通知，检查方式包括电话检查、</w:t>
      </w:r>
      <w:r>
        <w:rPr>
          <w:color w:val="auto"/>
          <w:spacing w:val="-7"/>
          <w:sz w:val="24"/>
          <w:szCs w:val="24"/>
        </w:rPr>
        <w:t xml:space="preserve">现场检查。应告知企业若发生 </w:t>
      </w:r>
      <w:r>
        <w:rPr>
          <w:color w:val="auto"/>
          <w:sz w:val="24"/>
          <w:szCs w:val="24"/>
        </w:rPr>
        <w:t>b</w:t>
      </w:r>
      <w:r>
        <w:rPr>
          <w:color w:val="auto"/>
          <w:spacing w:val="6"/>
          <w:sz w:val="24"/>
          <w:szCs w:val="24"/>
        </w:rPr>
        <w:t xml:space="preserve"> 和 </w:t>
      </w:r>
      <w:r>
        <w:rPr>
          <w:color w:val="auto"/>
          <w:sz w:val="24"/>
          <w:szCs w:val="24"/>
        </w:rPr>
        <w:t>c</w:t>
      </w:r>
      <w:r>
        <w:rPr>
          <w:color w:val="auto"/>
          <w:spacing w:val="-8"/>
          <w:sz w:val="24"/>
          <w:szCs w:val="24"/>
        </w:rPr>
        <w:t xml:space="preserve"> 监管检查，应立即报告给审核组长，审核组长获知后应了解检查的</w:t>
      </w:r>
      <w:r>
        <w:rPr>
          <w:color w:val="auto"/>
          <w:spacing w:val="-5"/>
          <w:sz w:val="24"/>
          <w:szCs w:val="24"/>
        </w:rPr>
        <w:t>内容并立即报告给公司审核部；</w:t>
      </w:r>
    </w:p>
    <w:p w14:paraId="4BD4C66D">
      <w:pPr>
        <w:pStyle w:val="5"/>
        <w:spacing w:before="127" w:line="360" w:lineRule="auto"/>
        <w:ind w:left="112" w:right="390" w:firstLine="936" w:firstLineChars="400"/>
        <w:jc w:val="both"/>
        <w:rPr>
          <w:color w:val="auto"/>
          <w:spacing w:val="-5"/>
          <w:sz w:val="24"/>
          <w:szCs w:val="24"/>
        </w:rPr>
      </w:pPr>
      <w:r>
        <w:rPr>
          <w:color w:val="auto"/>
          <w:spacing w:val="-3"/>
          <w:sz w:val="24"/>
          <w:szCs w:val="24"/>
        </w:rPr>
        <w:t>6</w:t>
      </w:r>
      <w:r>
        <w:rPr>
          <w:color w:val="auto"/>
          <w:spacing w:val="-104"/>
          <w:sz w:val="24"/>
          <w:szCs w:val="24"/>
        </w:rPr>
        <w:t>）</w:t>
      </w:r>
      <w:r>
        <w:rPr>
          <w:color w:val="auto"/>
          <w:spacing w:val="-12"/>
          <w:sz w:val="24"/>
          <w:szCs w:val="24"/>
        </w:rPr>
        <w:t>.</w:t>
      </w:r>
      <w:r>
        <w:rPr>
          <w:color w:val="auto"/>
          <w:spacing w:val="-3"/>
          <w:sz w:val="24"/>
          <w:szCs w:val="24"/>
        </w:rPr>
        <w:t>应告知企业需妥善保管三年内认证相关文件，</w:t>
      </w:r>
    </w:p>
    <w:p w14:paraId="71972405">
      <w:pPr>
        <w:pStyle w:val="5"/>
        <w:spacing w:before="127" w:line="360" w:lineRule="auto"/>
        <w:ind w:left="112" w:right="390" w:firstLine="936" w:firstLineChars="400"/>
        <w:jc w:val="both"/>
        <w:rPr>
          <w:color w:val="auto"/>
          <w:sz w:val="24"/>
          <w:szCs w:val="24"/>
        </w:rPr>
      </w:pPr>
      <w:r>
        <w:rPr>
          <w:color w:val="auto"/>
          <w:spacing w:val="-3"/>
          <w:sz w:val="24"/>
          <w:szCs w:val="24"/>
        </w:rPr>
        <w:t>7</w:t>
      </w:r>
      <w:r>
        <w:rPr>
          <w:color w:val="auto"/>
          <w:spacing w:val="-104"/>
          <w:sz w:val="24"/>
          <w:szCs w:val="24"/>
        </w:rPr>
        <w:t>）</w:t>
      </w:r>
      <w:r>
        <w:rPr>
          <w:color w:val="auto"/>
          <w:spacing w:val="-12"/>
          <w:sz w:val="24"/>
          <w:szCs w:val="24"/>
        </w:rPr>
        <w:t>.</w:t>
      </w:r>
      <w:r>
        <w:rPr>
          <w:color w:val="auto"/>
          <w:spacing w:val="-3"/>
          <w:sz w:val="24"/>
          <w:szCs w:val="24"/>
        </w:rPr>
        <w:t>再次致谢，请企业领导讲话；</w:t>
      </w:r>
    </w:p>
    <w:p w14:paraId="3B9AEF3F">
      <w:pPr>
        <w:pStyle w:val="5"/>
        <w:rPr>
          <w:color w:val="auto"/>
          <w:sz w:val="20"/>
        </w:rPr>
      </w:pPr>
    </w:p>
    <w:p w14:paraId="7B21746D">
      <w:pPr>
        <w:spacing w:before="161" w:line="360" w:lineRule="auto"/>
        <w:ind w:left="113" w:firstLine="480" w:firstLineChars="200"/>
        <w:rPr>
          <w:rFonts w:ascii="黑体" w:hAnsi="黑体" w:eastAsia="黑体"/>
          <w:bCs/>
          <w:color w:val="auto"/>
          <w:sz w:val="24"/>
          <w:szCs w:val="24"/>
        </w:rPr>
      </w:pPr>
    </w:p>
    <w:p w14:paraId="04213A63">
      <w:pPr>
        <w:spacing w:before="161" w:line="360" w:lineRule="auto"/>
        <w:ind w:left="113" w:firstLine="480" w:firstLineChars="200"/>
        <w:rPr>
          <w:rFonts w:ascii="黑体" w:hAnsi="黑体" w:eastAsia="黑体"/>
          <w:bCs/>
          <w:color w:val="auto"/>
          <w:sz w:val="24"/>
          <w:szCs w:val="24"/>
        </w:rPr>
      </w:pPr>
      <w:r>
        <w:rPr>
          <w:rFonts w:ascii="黑体" w:hAnsi="黑体" w:eastAsia="黑体"/>
          <w:bCs/>
          <w:color w:val="auto"/>
          <w:sz w:val="24"/>
          <w:szCs w:val="24"/>
        </w:rPr>
        <w:t>第 12 条 不符合项验证</w:t>
      </w:r>
    </w:p>
    <w:p w14:paraId="322FF531">
      <w:pPr>
        <w:pStyle w:val="5"/>
        <w:spacing w:before="7"/>
        <w:rPr>
          <w:b/>
          <w:color w:val="auto"/>
          <w:sz w:val="15"/>
        </w:rPr>
      </w:pPr>
    </w:p>
    <w:p w14:paraId="224618FB">
      <w:pPr>
        <w:pStyle w:val="5"/>
        <w:spacing w:line="360" w:lineRule="auto"/>
        <w:ind w:left="324" w:firstLine="480" w:firstLineChars="200"/>
        <w:rPr>
          <w:color w:val="auto"/>
          <w:sz w:val="24"/>
          <w:szCs w:val="24"/>
        </w:rPr>
      </w:pPr>
      <w:r>
        <w:rPr>
          <w:color w:val="auto"/>
          <w:sz w:val="24"/>
          <w:szCs w:val="24"/>
        </w:rPr>
        <w:t>1、 审核组长应要求企业在规定期限内完成整改并提供证据。</w:t>
      </w:r>
    </w:p>
    <w:p w14:paraId="57265A1A">
      <w:pPr>
        <w:pStyle w:val="5"/>
        <w:spacing w:line="360" w:lineRule="auto"/>
        <w:ind w:left="324" w:firstLine="480" w:firstLineChars="200"/>
        <w:rPr>
          <w:color w:val="auto"/>
          <w:sz w:val="24"/>
          <w:szCs w:val="24"/>
        </w:rPr>
      </w:pPr>
    </w:p>
    <w:p w14:paraId="45C616A7">
      <w:pPr>
        <w:pStyle w:val="5"/>
        <w:spacing w:line="360" w:lineRule="auto"/>
        <w:ind w:left="324" w:firstLine="480" w:firstLineChars="200"/>
        <w:rPr>
          <w:color w:val="auto"/>
          <w:spacing w:val="-3"/>
          <w:sz w:val="24"/>
          <w:szCs w:val="24"/>
        </w:rPr>
      </w:pPr>
      <w:r>
        <w:rPr>
          <w:color w:val="auto"/>
          <w:sz w:val="24"/>
          <w:szCs w:val="24"/>
        </w:rPr>
        <w:t>2</w:t>
      </w:r>
      <w:r>
        <w:rPr>
          <w:color w:val="auto"/>
          <w:spacing w:val="-8"/>
          <w:sz w:val="24"/>
          <w:szCs w:val="24"/>
        </w:rPr>
        <w:t>、 不符合项纠正措施验证方式由组长决定，对于严重影响产品质量</w:t>
      </w:r>
      <w:r>
        <w:rPr>
          <w:color w:val="auto"/>
          <w:sz w:val="24"/>
          <w:szCs w:val="24"/>
        </w:rPr>
        <w:t>/</w:t>
      </w:r>
      <w:r>
        <w:rPr>
          <w:color w:val="auto"/>
          <w:spacing w:val="-3"/>
          <w:sz w:val="24"/>
          <w:szCs w:val="24"/>
        </w:rPr>
        <w:t>环境</w:t>
      </w:r>
      <w:r>
        <w:rPr>
          <w:color w:val="auto"/>
          <w:sz w:val="24"/>
          <w:szCs w:val="24"/>
        </w:rPr>
        <w:t>/</w:t>
      </w:r>
      <w:r>
        <w:rPr>
          <w:color w:val="auto"/>
          <w:spacing w:val="-3"/>
          <w:sz w:val="24"/>
          <w:szCs w:val="24"/>
        </w:rPr>
        <w:t>职业健康安全的不符合项应到现场实施验证，当需要现场验证时应请示审核部同意。</w:t>
      </w:r>
    </w:p>
    <w:p w14:paraId="529260AB">
      <w:pPr>
        <w:pStyle w:val="5"/>
        <w:spacing w:line="360" w:lineRule="auto"/>
        <w:ind w:left="324" w:firstLine="468" w:firstLineChars="200"/>
        <w:rPr>
          <w:color w:val="auto"/>
          <w:sz w:val="24"/>
          <w:szCs w:val="24"/>
        </w:rPr>
      </w:pPr>
      <w:r>
        <w:rPr>
          <w:rFonts w:hint="eastAsia"/>
          <w:color w:val="auto"/>
          <w:spacing w:val="-3"/>
          <w:sz w:val="24"/>
          <w:szCs w:val="24"/>
        </w:rPr>
        <w:t>a</w:t>
      </w:r>
      <w:r>
        <w:rPr>
          <w:color w:val="auto"/>
          <w:spacing w:val="-3"/>
          <w:sz w:val="24"/>
          <w:szCs w:val="24"/>
        </w:rPr>
        <w:t>.</w:t>
      </w:r>
      <w:r>
        <w:rPr>
          <w:color w:val="auto"/>
          <w:spacing w:val="-21"/>
          <w:sz w:val="24"/>
          <w:szCs w:val="24"/>
        </w:rPr>
        <w:t xml:space="preserve">应按照《认证审核时效性管理办法》的规定完成验证。当审核组与企业在验证阶段发生重大分歧时， </w:t>
      </w:r>
      <w:r>
        <w:rPr>
          <w:color w:val="auto"/>
          <w:spacing w:val="-8"/>
          <w:sz w:val="24"/>
          <w:szCs w:val="24"/>
        </w:rPr>
        <w:t>审核组长应与企业积极沟通解决。</w:t>
      </w:r>
    </w:p>
    <w:p w14:paraId="7FD6FDB8">
      <w:pPr>
        <w:pStyle w:val="21"/>
        <w:tabs>
          <w:tab w:val="left" w:pos="747"/>
        </w:tabs>
        <w:spacing w:line="360" w:lineRule="auto"/>
        <w:ind w:left="590" w:right="210" w:firstLine="0"/>
        <w:jc w:val="right"/>
        <w:rPr>
          <w:color w:val="auto"/>
          <w:spacing w:val="-1"/>
          <w:sz w:val="24"/>
          <w:szCs w:val="24"/>
        </w:rPr>
      </w:pPr>
      <w:r>
        <w:rPr>
          <w:rFonts w:hint="eastAsia"/>
          <w:color w:val="auto"/>
          <w:spacing w:val="-1"/>
          <w:sz w:val="24"/>
          <w:szCs w:val="24"/>
        </w:rPr>
        <w:t>b</w:t>
      </w:r>
      <w:r>
        <w:rPr>
          <w:color w:val="auto"/>
          <w:spacing w:val="-1"/>
          <w:sz w:val="24"/>
          <w:szCs w:val="24"/>
        </w:rPr>
        <w:t>.对超过整改期限已经提交《缺失有效纠正措施说明函》的项目，企业向审核组长提交</w:t>
      </w:r>
    </w:p>
    <w:p w14:paraId="522CB335">
      <w:pPr>
        <w:tabs>
          <w:tab w:val="left" w:pos="747"/>
        </w:tabs>
        <w:spacing w:line="360" w:lineRule="auto"/>
        <w:ind w:right="1166" w:firstLine="952" w:firstLineChars="400"/>
        <w:rPr>
          <w:color w:val="auto"/>
          <w:sz w:val="24"/>
          <w:szCs w:val="24"/>
        </w:rPr>
      </w:pPr>
      <w:r>
        <w:rPr>
          <w:color w:val="auto"/>
          <w:spacing w:val="-1"/>
          <w:sz w:val="24"/>
          <w:szCs w:val="24"/>
        </w:rPr>
        <w:t xml:space="preserve">整改资料的， </w:t>
      </w:r>
      <w:r>
        <w:rPr>
          <w:color w:val="auto"/>
          <w:spacing w:val="-3"/>
          <w:sz w:val="24"/>
          <w:szCs w:val="24"/>
        </w:rPr>
        <w:t>审核组长有责任进行验证。</w:t>
      </w:r>
    </w:p>
    <w:p w14:paraId="48F5465C">
      <w:pPr>
        <w:ind w:firstLine="720" w:firstLineChars="300"/>
        <w:rPr>
          <w:rFonts w:hint="default"/>
          <w:color w:val="auto"/>
          <w:lang w:val="en-US" w:eastAsia="zh-CN"/>
        </w:rPr>
      </w:pPr>
      <w:r>
        <w:rPr>
          <w:rFonts w:hint="eastAsia" w:asciiTheme="majorEastAsia" w:hAnsiTheme="majorEastAsia" w:eastAsiaTheme="majorEastAsia" w:cstheme="majorEastAsia"/>
          <w:color w:val="auto"/>
          <w:sz w:val="24"/>
          <w:szCs w:val="24"/>
        </w:rPr>
        <w:t>3</w:t>
      </w:r>
      <w:r>
        <w:rPr>
          <w:rFonts w:ascii="宋体" w:hAnsi="宋体" w:eastAsia="宋体" w:cs="宋体"/>
          <w:snapToGrid w:val="0"/>
          <w:color w:val="auto"/>
          <w:sz w:val="24"/>
          <w:szCs w:val="24"/>
          <w:lang w:val="en-US" w:eastAsia="en-US" w:bidi="ar-SA"/>
        </w:rPr>
        <w:t xml:space="preserve">、 </w:t>
      </w:r>
      <w:r>
        <w:rPr>
          <w:color w:val="auto"/>
          <w:sz w:val="24"/>
          <w:szCs w:val="24"/>
        </w:rPr>
        <w:t>不符合项报告应由审核组长验证纠正措施的有效性并签署验证日期。</w:t>
      </w:r>
    </w:p>
    <w:sectPr>
      <w:headerReference r:id="rId8" w:type="default"/>
      <w:footerReference r:id="rId9" w:type="default"/>
      <w:pgSz w:w="11900" w:h="16820"/>
      <w:pgMar w:top="850" w:right="850" w:bottom="850" w:left="850" w:header="567" w:footer="397" w:gutter="0"/>
      <w:pgNumType w:fmt="decimal"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48FB">
    <w:pPr>
      <w:pStyle w:val="8"/>
      <w:rPr>
        <w:rFonts w:hint="default"/>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5703570</wp:posOffset>
              </wp:positionH>
              <wp:positionV relativeFrom="paragraph">
                <wp:posOffset>129540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90A37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9.1pt;margin-top:10.2pt;height:144pt;width:144pt;mso-position-horizontal-relative:margin;mso-wrap-style:none;z-index:251659264;mso-width-relative:page;mso-height-relative:page;" filled="f" stroked="f" coordsize="21600,21600" o:gfxdata="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LZULYAAAACwEAAA8AAAAAAAAAAQAgAAAAIgAAAGRycy9kb3du&#10;cmV2LnhtbFBLAQIUABQAAAAIAIdO4kBeGo9fOAIAAG8EAAAOAAAAAAAAAAEAIAAAACcBAABkcnMv&#10;ZTJvRG9jLnhtbFBLBQYAAAAABgAGAFkBAADRBQAAAAA=&#10;">
              <v:fill on="f" focussize="0,0"/>
              <v:stroke on="f" weight="0.5pt"/>
              <v:imagedata o:title=""/>
              <o:lock v:ext="edit" aspectratio="f"/>
              <v:textbox inset="0mm,0mm,0mm,0mm" style="mso-fit-shape-to-text:t;">
                <w:txbxContent>
                  <w:p w14:paraId="1790A378">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r>
      <w:rPr>
        <w:rFonts w:hint="eastAsia"/>
        <w:sz w:val="18"/>
        <w:szCs w:val="18"/>
        <w:lang w:val="en-US" w:eastAsia="zh-CN"/>
      </w:rPr>
      <w:t>-------------------------------------------------------------------------------------------------------------------------------------------------------------------------</w:t>
    </w:r>
  </w:p>
  <w:p w14:paraId="58C975C9">
    <w:pPr>
      <w:pStyle w:val="8"/>
      <w:rPr>
        <w:rFonts w:hint="default" w:eastAsiaTheme="minorEastAsia"/>
        <w:sz w:val="18"/>
        <w:szCs w:val="18"/>
        <w:lang w:val="en-US" w:eastAsia="zh-CN"/>
      </w:rPr>
    </w:pPr>
    <w:r>
      <w:rPr>
        <w:sz w:val="18"/>
        <w:szCs w:val="18"/>
        <w:lang w:eastAsia="zh-CN"/>
      </w:rPr>
      <w:t>中博检验认证技术服务（江苏）有限公司</w:t>
    </w:r>
    <w:r>
      <w:rPr>
        <w:rFonts w:hint="eastAsia"/>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184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78F">
    <w:pPr>
      <w:pStyle w:val="8"/>
      <w:rPr>
        <w:rFonts w:eastAsiaTheme="minor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D5E2D">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0D5E2D">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r>
      <w:t>中博检验认证技术服务（江苏）有限公司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10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2871"/>
      <w:gridCol w:w="1619"/>
    </w:tblGrid>
    <w:tr w14:paraId="0ED9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14:paraId="38F6A50E">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20" name="图片 20"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14:paraId="203C82AF">
          <w:pPr>
            <w:pStyle w:val="17"/>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490" w:type="dxa"/>
          <w:gridSpan w:val="2"/>
          <w:vAlign w:val="center"/>
        </w:tcPr>
        <w:p w14:paraId="5DA85747">
          <w:pPr>
            <w:pStyle w:val="17"/>
            <w:pBdr>
              <w:bottom w:val="none" w:color="auto" w:sz="0" w:space="0"/>
            </w:pBdr>
            <w:spacing w:before="66" w:line="220" w:lineRule="auto"/>
            <w:ind w:left="1074" w:leftChars="19" w:hanging="1034" w:hangingChars="50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文件名称：认证过程案卷检查及认证评定作业指导书</w:t>
          </w:r>
        </w:p>
      </w:tc>
    </w:tr>
    <w:tr w14:paraId="65FE3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14:paraId="3E7328E6">
          <w:pPr>
            <w:pBdr>
              <w:bottom w:val="none" w:color="auto" w:sz="0" w:space="0"/>
            </w:pBdr>
            <w:rPr>
              <w:lang w:eastAsia="zh-CN"/>
            </w:rPr>
          </w:pPr>
        </w:p>
      </w:tc>
      <w:tc>
        <w:tcPr>
          <w:tcW w:w="4137" w:type="dxa"/>
          <w:vAlign w:val="center"/>
        </w:tcPr>
        <w:p w14:paraId="31C1DE07">
          <w:pPr>
            <w:pStyle w:val="17"/>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color w:val="FF0000"/>
              <w:sz w:val="24"/>
              <w:szCs w:val="24"/>
              <w:lang w:val="en-US" w:eastAsia="zh-CN"/>
            </w:rPr>
            <w:t>ZBCC</w:t>
          </w:r>
          <w:r>
            <w:rPr>
              <w:rFonts w:hint="eastAsia" w:ascii="宋体" w:hAnsi="宋体" w:eastAsia="宋体" w:cs="宋体"/>
              <w:b/>
              <w:color w:val="FF0000"/>
              <w:sz w:val="24"/>
              <w:szCs w:val="24"/>
            </w:rPr>
            <w:t>-</w:t>
          </w:r>
          <w:r>
            <w:rPr>
              <w:rFonts w:hint="eastAsia" w:ascii="宋体" w:hAnsi="宋体" w:eastAsia="宋体" w:cs="宋体"/>
              <w:b/>
              <w:color w:val="FF0000"/>
              <w:sz w:val="24"/>
              <w:szCs w:val="24"/>
              <w:lang w:val="en-US" w:eastAsia="zh-CN"/>
            </w:rPr>
            <w:t>ZY</w:t>
          </w:r>
          <w:r>
            <w:rPr>
              <w:rFonts w:hint="eastAsia" w:ascii="宋体" w:hAnsi="宋体" w:eastAsia="宋体" w:cs="宋体"/>
              <w:b/>
              <w:color w:val="FF0000"/>
              <w:sz w:val="24"/>
              <w:szCs w:val="24"/>
            </w:rPr>
            <w:t>-0</w:t>
          </w:r>
          <w:r>
            <w:rPr>
              <w:rFonts w:hint="eastAsia" w:ascii="宋体" w:hAnsi="宋体" w:eastAsia="宋体" w:cs="宋体"/>
              <w:b/>
              <w:color w:val="FF0000"/>
              <w:sz w:val="24"/>
              <w:szCs w:val="24"/>
              <w:lang w:val="en-US" w:eastAsia="zh-CN"/>
            </w:rPr>
            <w:t>26</w:t>
          </w:r>
        </w:p>
      </w:tc>
      <w:tc>
        <w:tcPr>
          <w:tcW w:w="2871" w:type="dxa"/>
          <w:vAlign w:val="center"/>
        </w:tcPr>
        <w:p w14:paraId="62FE1F11">
          <w:pPr>
            <w:pStyle w:val="17"/>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5</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10</w:t>
          </w:r>
          <w:r>
            <w:rPr>
              <w:rFonts w:hint="eastAsia" w:ascii="宋体" w:hAnsi="宋体" w:eastAsia="宋体" w:cs="宋体"/>
              <w:b/>
              <w:bCs/>
              <w:spacing w:val="-2"/>
              <w:sz w:val="21"/>
              <w:szCs w:val="21"/>
              <w:lang w:eastAsia="zh-CN"/>
            </w:rPr>
            <w:t>日</w:t>
          </w:r>
        </w:p>
      </w:tc>
      <w:tc>
        <w:tcPr>
          <w:tcW w:w="1619" w:type="dxa"/>
          <w:vAlign w:val="center"/>
        </w:tcPr>
        <w:p w14:paraId="023C92C6">
          <w:pPr>
            <w:pStyle w:val="17"/>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版本：A</w:t>
          </w:r>
          <w:r>
            <w:rPr>
              <w:rFonts w:hint="eastAsia" w:ascii="宋体" w:hAnsi="宋体" w:eastAsia="宋体" w:cs="宋体"/>
              <w:b/>
              <w:bCs/>
              <w:spacing w:val="-2"/>
              <w:sz w:val="21"/>
              <w:szCs w:val="21"/>
              <w:lang w:val="en-US" w:eastAsia="zh-CN"/>
            </w:rPr>
            <w:t>/</w:t>
          </w:r>
          <w:r>
            <w:rPr>
              <w:rFonts w:hint="eastAsia" w:ascii="宋体" w:hAnsi="宋体" w:eastAsia="宋体" w:cs="宋体"/>
              <w:b/>
              <w:bCs/>
              <w:spacing w:val="-2"/>
              <w:sz w:val="21"/>
              <w:szCs w:val="21"/>
              <w:lang w:eastAsia="zh-CN"/>
            </w:rPr>
            <w:t>0</w:t>
          </w:r>
        </w:p>
      </w:tc>
    </w:tr>
  </w:tbl>
  <w:p w14:paraId="513507B0">
    <w:pPr>
      <w:pBdr>
        <w:bottom w:val="none" w:color="auto" w:sz="0" w:space="0"/>
      </w:pBdr>
      <w:spacing w:line="14" w:lineRule="auto"/>
      <w:rPr>
        <w:sz w:val="2"/>
      </w:rPr>
    </w:pPr>
    <w:r>
      <w:rPr>
        <w:sz w:val="2"/>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6477000" cy="5461000"/>
          <wp:effectExtent l="0" t="0" r="0" b="6350"/>
          <wp:wrapNone/>
          <wp:docPr id="7" name="WordPictureWatermark337793"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7793"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C119">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FD03">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pPr w:leftFromText="180" w:rightFromText="180" w:vertAnchor="page" w:horzAnchor="page" w:tblpX="1163" w:tblpY="597"/>
      <w:tblOverlap w:val="never"/>
      <w:tblW w:w="96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0"/>
      <w:gridCol w:w="3940"/>
      <w:gridCol w:w="2735"/>
      <w:gridCol w:w="1542"/>
    </w:tblGrid>
    <w:tr w14:paraId="2376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40" w:type="dxa"/>
          <w:vMerge w:val="restart"/>
          <w:tcBorders>
            <w:bottom w:val="nil"/>
          </w:tcBorders>
        </w:tcPr>
        <w:p w14:paraId="189AE299">
          <w:pPr>
            <w:spacing w:before="116" w:line="1088" w:lineRule="exact"/>
            <w:ind w:firstLine="677"/>
            <w:rPr>
              <w:color w:val="auto"/>
            </w:rPr>
          </w:pPr>
          <w:r>
            <w:rPr>
              <w:rFonts w:hint="eastAsia" w:eastAsia="黑体"/>
              <w:color w:val="auto"/>
              <w:lang w:val="en-US" w:bidi="ar-SA"/>
            </w:rPr>
            <w:drawing>
              <wp:anchor distT="0" distB="0" distL="114300" distR="114300" simplePos="0" relativeHeight="251668480" behindDoc="0" locked="0" layoutInCell="1" allowOverlap="1">
                <wp:simplePos x="0" y="0"/>
                <wp:positionH relativeFrom="column">
                  <wp:posOffset>50800</wp:posOffset>
                </wp:positionH>
                <wp:positionV relativeFrom="paragraph">
                  <wp:posOffset>43180</wp:posOffset>
                </wp:positionV>
                <wp:extent cx="837565" cy="706120"/>
                <wp:effectExtent l="0" t="0" r="635" b="17780"/>
                <wp:wrapNone/>
                <wp:docPr id="12" name="图片 20"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中博LOGO"/>
                        <pic:cNvPicPr>
                          <a:picLocks noChangeAspect="1"/>
                        </pic:cNvPicPr>
                      </pic:nvPicPr>
                      <pic:blipFill>
                        <a:blip r:embed="rId1"/>
                        <a:stretch>
                          <a:fillRect/>
                        </a:stretch>
                      </pic:blipFill>
                      <pic:spPr>
                        <a:xfrm>
                          <a:off x="0" y="0"/>
                          <a:ext cx="837565" cy="706120"/>
                        </a:xfrm>
                        <a:prstGeom prst="rect">
                          <a:avLst/>
                        </a:prstGeom>
                      </pic:spPr>
                    </pic:pic>
                  </a:graphicData>
                </a:graphic>
              </wp:anchor>
            </w:drawing>
          </w:r>
        </w:p>
      </w:tc>
      <w:tc>
        <w:tcPr>
          <w:tcW w:w="3940" w:type="dxa"/>
          <w:vAlign w:val="center"/>
        </w:tcPr>
        <w:p w14:paraId="3FA81096">
          <w:pPr>
            <w:pStyle w:val="17"/>
            <w:spacing w:before="62" w:line="221" w:lineRule="auto"/>
            <w:ind w:left="30"/>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中博检验认证技术服务（江苏）有限公司</w:t>
          </w:r>
        </w:p>
      </w:tc>
      <w:tc>
        <w:tcPr>
          <w:tcW w:w="4277" w:type="dxa"/>
          <w:gridSpan w:val="2"/>
          <w:vAlign w:val="center"/>
        </w:tcPr>
        <w:p w14:paraId="2181A8AD">
          <w:pPr>
            <w:pStyle w:val="17"/>
            <w:spacing w:before="34" w:line="219" w:lineRule="auto"/>
            <w:ind w:left="37"/>
            <w:rPr>
              <w:rFonts w:hint="default" w:ascii="宋体" w:hAnsi="宋体" w:eastAsia="宋体" w:cs="宋体"/>
              <w:b/>
              <w:bCs/>
              <w:color w:val="auto"/>
              <w:sz w:val="21"/>
              <w:szCs w:val="21"/>
              <w:lang w:val="en-US" w:eastAsia="zh-CN"/>
            </w:rPr>
          </w:pPr>
          <w:r>
            <w:rPr>
              <w:rFonts w:hint="eastAsia" w:ascii="宋体" w:hAnsi="宋体" w:eastAsia="宋体" w:cs="宋体"/>
              <w:b/>
              <w:bCs/>
              <w:color w:val="auto"/>
              <w:spacing w:val="-1"/>
              <w:sz w:val="21"/>
              <w:szCs w:val="21"/>
              <w:lang w:eastAsia="zh-CN"/>
            </w:rPr>
            <w:t>文件名称：</w:t>
          </w:r>
          <w:r>
            <w:rPr>
              <w:rFonts w:hint="eastAsia" w:ascii="宋体" w:hAnsi="宋体" w:eastAsia="宋体" w:cs="宋体"/>
              <w:b/>
              <w:bCs/>
              <w:color w:val="auto"/>
              <w:spacing w:val="-1"/>
              <w:sz w:val="21"/>
              <w:szCs w:val="21"/>
              <w:lang w:val="en-US" w:eastAsia="zh-CN"/>
            </w:rPr>
            <w:t>审核员工作手册</w:t>
          </w:r>
        </w:p>
      </w:tc>
    </w:tr>
    <w:tr w14:paraId="12E6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40" w:type="dxa"/>
          <w:vMerge w:val="continue"/>
          <w:tcBorders>
            <w:top w:val="nil"/>
          </w:tcBorders>
        </w:tcPr>
        <w:p w14:paraId="1B331781">
          <w:pPr>
            <w:rPr>
              <w:color w:val="auto"/>
            </w:rPr>
          </w:pPr>
        </w:p>
      </w:tc>
      <w:tc>
        <w:tcPr>
          <w:tcW w:w="3940" w:type="dxa"/>
          <w:vAlign w:val="center"/>
        </w:tcPr>
        <w:p w14:paraId="39B11663">
          <w:pPr>
            <w:pStyle w:val="17"/>
            <w:spacing w:before="66" w:line="220" w:lineRule="auto"/>
            <w:ind w:left="40"/>
            <w:rPr>
              <w:rFonts w:hint="default" w:ascii="宋体" w:hAnsi="宋体" w:eastAsia="宋体" w:cs="宋体"/>
              <w:b/>
              <w:bCs/>
              <w:color w:val="auto"/>
              <w:sz w:val="21"/>
              <w:szCs w:val="21"/>
              <w:lang w:val="en-US" w:eastAsia="zh-CN"/>
            </w:rPr>
          </w:pPr>
          <w:r>
            <w:rPr>
              <w:rFonts w:hint="eastAsia" w:ascii="宋体" w:hAnsi="宋体" w:eastAsia="宋体" w:cs="宋体"/>
              <w:b/>
              <w:bCs/>
              <w:color w:val="auto"/>
              <w:spacing w:val="-2"/>
              <w:sz w:val="21"/>
              <w:szCs w:val="21"/>
              <w:lang w:eastAsia="zh-CN"/>
            </w:rPr>
            <w:t>文件编号：</w:t>
          </w:r>
          <w:r>
            <w:rPr>
              <w:rFonts w:hint="eastAsia" w:ascii="宋体" w:hAnsi="宋体" w:eastAsia="宋体" w:cs="宋体"/>
              <w:b/>
              <w:color w:val="auto"/>
              <w:sz w:val="24"/>
              <w:szCs w:val="24"/>
              <w:lang w:val="en-US" w:eastAsia="zh-CN"/>
            </w:rPr>
            <w:t>ZBCC</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ZY</w:t>
          </w:r>
          <w:r>
            <w:rPr>
              <w:rFonts w:hint="eastAsia" w:ascii="宋体" w:hAnsi="宋体" w:eastAsia="宋体" w:cs="宋体"/>
              <w:b/>
              <w:color w:val="auto"/>
              <w:sz w:val="24"/>
              <w:szCs w:val="24"/>
            </w:rPr>
            <w:t>-0</w:t>
          </w:r>
          <w:r>
            <w:rPr>
              <w:rFonts w:hint="eastAsia" w:ascii="宋体" w:hAnsi="宋体" w:eastAsia="宋体" w:cs="宋体"/>
              <w:b/>
              <w:color w:val="auto"/>
              <w:sz w:val="24"/>
              <w:szCs w:val="24"/>
              <w:lang w:val="en-US" w:eastAsia="zh-CN"/>
            </w:rPr>
            <w:t>28</w:t>
          </w:r>
        </w:p>
      </w:tc>
      <w:tc>
        <w:tcPr>
          <w:tcW w:w="2735" w:type="dxa"/>
          <w:vAlign w:val="center"/>
        </w:tcPr>
        <w:p w14:paraId="53B6D0EB">
          <w:pPr>
            <w:pStyle w:val="17"/>
            <w:spacing w:before="37" w:line="220" w:lineRule="auto"/>
            <w:ind w:left="34"/>
            <w:jc w:val="both"/>
            <w:rPr>
              <w:rFonts w:hint="eastAsia" w:ascii="宋体" w:hAnsi="宋体" w:eastAsia="宋体" w:cs="宋体"/>
              <w:b/>
              <w:bCs/>
              <w:color w:val="auto"/>
              <w:sz w:val="21"/>
              <w:szCs w:val="21"/>
              <w:lang w:eastAsia="zh-CN"/>
            </w:rPr>
          </w:pPr>
          <w:r>
            <w:rPr>
              <w:rFonts w:hint="eastAsia" w:ascii="宋体" w:hAnsi="宋体" w:eastAsia="宋体" w:cs="宋体"/>
              <w:b/>
              <w:bCs/>
              <w:color w:val="auto"/>
              <w:spacing w:val="-3"/>
              <w:sz w:val="21"/>
              <w:szCs w:val="21"/>
            </w:rPr>
            <w:t>实施日期</w:t>
          </w:r>
          <w:r>
            <w:rPr>
              <w:rFonts w:hint="eastAsia" w:ascii="宋体" w:hAnsi="宋体" w:eastAsia="宋体" w:cs="宋体"/>
              <w:b/>
              <w:bCs/>
              <w:color w:val="auto"/>
              <w:spacing w:val="-3"/>
              <w:sz w:val="21"/>
              <w:szCs w:val="21"/>
              <w:lang w:eastAsia="zh-CN"/>
            </w:rPr>
            <w:t>：</w:t>
          </w:r>
          <w:r>
            <w:rPr>
              <w:rFonts w:hint="eastAsia" w:ascii="宋体" w:hAnsi="宋体" w:eastAsia="宋体" w:cs="宋体"/>
              <w:b/>
              <w:bCs/>
              <w:color w:val="auto"/>
              <w:spacing w:val="-6"/>
              <w:sz w:val="21"/>
              <w:szCs w:val="21"/>
              <w:lang w:eastAsia="zh-CN"/>
            </w:rPr>
            <w:t>2023年05月10日</w:t>
          </w:r>
        </w:p>
      </w:tc>
      <w:tc>
        <w:tcPr>
          <w:tcW w:w="1542" w:type="dxa"/>
          <w:vAlign w:val="center"/>
        </w:tcPr>
        <w:p w14:paraId="668CAE30">
          <w:pPr>
            <w:spacing w:before="54" w:line="226" w:lineRule="auto"/>
            <w:jc w:val="center"/>
            <w:rPr>
              <w:rFonts w:ascii="宋体" w:hAnsi="宋体" w:eastAsia="宋体" w:cs="宋体"/>
              <w:b/>
              <w:bCs/>
              <w:color w:val="auto"/>
            </w:rPr>
          </w:pPr>
          <w:r>
            <w:rPr>
              <w:rFonts w:hint="eastAsia" w:ascii="宋体" w:hAnsi="宋体" w:eastAsia="宋体" w:cs="宋体"/>
              <w:b/>
              <w:bCs/>
              <w:color w:val="auto"/>
              <w:sz w:val="21"/>
              <w:szCs w:val="21"/>
            </w:rPr>
            <w:t>版本：A</w:t>
          </w:r>
          <w:r>
            <w:rPr>
              <w:rFonts w:hint="eastAsia" w:ascii="宋体" w:hAnsi="宋体" w:eastAsia="宋体" w:cs="宋体"/>
              <w:b/>
              <w:bCs/>
              <w:color w:val="auto"/>
              <w:sz w:val="21"/>
              <w:szCs w:val="21"/>
              <w:lang w:val="en-US"/>
            </w:rPr>
            <w:t>/</w:t>
          </w:r>
          <w:r>
            <w:rPr>
              <w:rFonts w:hint="eastAsia" w:ascii="宋体" w:hAnsi="宋体" w:eastAsia="宋体" w:cs="宋体"/>
              <w:b/>
              <w:bCs/>
              <w:color w:val="auto"/>
              <w:sz w:val="21"/>
              <w:szCs w:val="21"/>
            </w:rPr>
            <w:t>0</w:t>
          </w:r>
        </w:p>
      </w:tc>
    </w:tr>
  </w:tbl>
  <w:p w14:paraId="3CC20A82">
    <w:pPr>
      <w:pStyle w:val="5"/>
      <w:spacing w:line="14" w:lineRule="auto"/>
      <w:rPr>
        <w:b w:val="0"/>
        <w:sz w:val="20"/>
      </w:rPr>
    </w:pPr>
    <w:r>
      <w:rPr>
        <w:sz w:val="20"/>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6477000" cy="5461000"/>
          <wp:effectExtent l="0" t="0" r="0" b="6350"/>
          <wp:wrapNone/>
          <wp:docPr id="13" name="WordPictureWatermark396799"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96799"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12" w:hanging="318"/>
      </w:pPr>
      <w:rPr>
        <w:rFonts w:hint="default" w:ascii="宋体" w:hAnsi="宋体" w:eastAsia="宋体" w:cs="宋体"/>
        <w:color w:val="0D0D0D"/>
        <w:spacing w:val="-3"/>
        <w:w w:val="100"/>
        <w:sz w:val="19"/>
        <w:szCs w:val="19"/>
        <w:lang w:val="zh-CN" w:eastAsia="zh-CN" w:bidi="zh-CN"/>
      </w:rPr>
    </w:lvl>
    <w:lvl w:ilvl="1" w:tentative="0">
      <w:start w:val="2"/>
      <w:numFmt w:val="decimal"/>
      <w:lvlText w:val="%2)."/>
      <w:lvlJc w:val="left"/>
      <w:pPr>
        <w:ind w:left="112" w:hanging="524"/>
        <w:jc w:val="right"/>
      </w:pPr>
      <w:rPr>
        <w:rFonts w:hint="default" w:ascii="宋体" w:hAnsi="宋体" w:eastAsia="宋体" w:cs="宋体"/>
        <w:color w:val="0D0D0D"/>
        <w:spacing w:val="-3"/>
        <w:w w:val="100"/>
        <w:sz w:val="21"/>
        <w:szCs w:val="21"/>
        <w:lang w:val="zh-CN" w:eastAsia="zh-CN" w:bidi="zh-CN"/>
      </w:rPr>
    </w:lvl>
    <w:lvl w:ilvl="2" w:tentative="0">
      <w:start w:val="2"/>
      <w:numFmt w:val="decimal"/>
      <w:lvlText w:val="%3)."/>
      <w:lvlJc w:val="left"/>
      <w:pPr>
        <w:ind w:left="860" w:hanging="318"/>
      </w:pPr>
      <w:rPr>
        <w:rFonts w:hint="default" w:ascii="宋体" w:hAnsi="宋体" w:eastAsia="宋体" w:cs="宋体"/>
        <w:color w:val="0D0D0D"/>
        <w:w w:val="100"/>
        <w:sz w:val="19"/>
        <w:szCs w:val="19"/>
        <w:lang w:val="zh-CN" w:eastAsia="zh-CN" w:bidi="zh-CN"/>
      </w:rPr>
    </w:lvl>
    <w:lvl w:ilvl="3" w:tentative="0">
      <w:start w:val="2"/>
      <w:numFmt w:val="decimal"/>
      <w:lvlText w:val="%4)."/>
      <w:lvlJc w:val="left"/>
      <w:pPr>
        <w:ind w:left="112" w:hanging="316"/>
      </w:pPr>
      <w:rPr>
        <w:rFonts w:hint="default" w:ascii="宋体" w:hAnsi="宋体" w:eastAsia="宋体" w:cs="宋体"/>
        <w:color w:val="0D0D0D"/>
        <w:spacing w:val="-3"/>
        <w:w w:val="100"/>
        <w:sz w:val="19"/>
        <w:szCs w:val="19"/>
        <w:lang w:val="zh-CN" w:eastAsia="zh-CN" w:bidi="zh-CN"/>
      </w:rPr>
    </w:lvl>
    <w:lvl w:ilvl="4" w:tentative="0">
      <w:start w:val="0"/>
      <w:numFmt w:val="bullet"/>
      <w:lvlText w:val="•"/>
      <w:lvlJc w:val="left"/>
      <w:pPr>
        <w:ind w:left="3928" w:hanging="316"/>
      </w:pPr>
      <w:rPr>
        <w:rFonts w:hint="default"/>
        <w:lang w:val="zh-CN" w:eastAsia="zh-CN" w:bidi="zh-CN"/>
      </w:rPr>
    </w:lvl>
    <w:lvl w:ilvl="5" w:tentative="0">
      <w:start w:val="0"/>
      <w:numFmt w:val="bullet"/>
      <w:lvlText w:val="•"/>
      <w:lvlJc w:val="left"/>
      <w:pPr>
        <w:ind w:left="4951" w:hanging="316"/>
      </w:pPr>
      <w:rPr>
        <w:rFonts w:hint="default"/>
        <w:lang w:val="zh-CN" w:eastAsia="zh-CN" w:bidi="zh-CN"/>
      </w:rPr>
    </w:lvl>
    <w:lvl w:ilvl="6" w:tentative="0">
      <w:start w:val="0"/>
      <w:numFmt w:val="bullet"/>
      <w:lvlText w:val="•"/>
      <w:lvlJc w:val="left"/>
      <w:pPr>
        <w:ind w:left="5974" w:hanging="316"/>
      </w:pPr>
      <w:rPr>
        <w:rFonts w:hint="default"/>
        <w:lang w:val="zh-CN" w:eastAsia="zh-CN" w:bidi="zh-CN"/>
      </w:rPr>
    </w:lvl>
    <w:lvl w:ilvl="7" w:tentative="0">
      <w:start w:val="0"/>
      <w:numFmt w:val="bullet"/>
      <w:lvlText w:val="•"/>
      <w:lvlJc w:val="left"/>
      <w:pPr>
        <w:ind w:left="6997" w:hanging="316"/>
      </w:pPr>
      <w:rPr>
        <w:rFonts w:hint="default"/>
        <w:lang w:val="zh-CN" w:eastAsia="zh-CN" w:bidi="zh-CN"/>
      </w:rPr>
    </w:lvl>
    <w:lvl w:ilvl="8" w:tentative="0">
      <w:start w:val="0"/>
      <w:numFmt w:val="bullet"/>
      <w:lvlText w:val="•"/>
      <w:lvlJc w:val="left"/>
      <w:pPr>
        <w:ind w:left="8020" w:hanging="316"/>
      </w:pPr>
      <w:rPr>
        <w:rFonts w:hint="default"/>
        <w:lang w:val="zh-CN" w:eastAsia="zh-CN" w:bidi="zh-CN"/>
      </w:rPr>
    </w:lvl>
  </w:abstractNum>
  <w:abstractNum w:abstractNumId="1">
    <w:nsid w:val="46B5612E"/>
    <w:multiLevelType w:val="multilevel"/>
    <w:tmpl w:val="46B5612E"/>
    <w:lvl w:ilvl="0" w:tentative="0">
      <w:start w:val="3"/>
      <w:numFmt w:val="decimal"/>
      <w:lvlText w:val="%1、"/>
      <w:lvlJc w:val="left"/>
      <w:pPr>
        <w:ind w:left="952" w:hanging="360"/>
      </w:pPr>
      <w:rPr>
        <w:rFonts w:hint="default"/>
        <w:color w:val="0D0D0D"/>
      </w:rPr>
    </w:lvl>
    <w:lvl w:ilvl="1" w:tentative="0">
      <w:start w:val="1"/>
      <w:numFmt w:val="lowerLetter"/>
      <w:lvlText w:val="%2)"/>
      <w:lvlJc w:val="left"/>
      <w:pPr>
        <w:ind w:left="1472" w:hanging="440"/>
      </w:pPr>
    </w:lvl>
    <w:lvl w:ilvl="2" w:tentative="0">
      <w:start w:val="1"/>
      <w:numFmt w:val="lowerRoman"/>
      <w:lvlText w:val="%3."/>
      <w:lvlJc w:val="right"/>
      <w:pPr>
        <w:ind w:left="1912" w:hanging="440"/>
      </w:pPr>
    </w:lvl>
    <w:lvl w:ilvl="3" w:tentative="0">
      <w:start w:val="1"/>
      <w:numFmt w:val="decimal"/>
      <w:lvlText w:val="%4."/>
      <w:lvlJc w:val="left"/>
      <w:pPr>
        <w:ind w:left="2352" w:hanging="440"/>
      </w:pPr>
    </w:lvl>
    <w:lvl w:ilvl="4" w:tentative="0">
      <w:start w:val="1"/>
      <w:numFmt w:val="lowerLetter"/>
      <w:lvlText w:val="%5)"/>
      <w:lvlJc w:val="left"/>
      <w:pPr>
        <w:ind w:left="2792" w:hanging="440"/>
      </w:pPr>
    </w:lvl>
    <w:lvl w:ilvl="5" w:tentative="0">
      <w:start w:val="1"/>
      <w:numFmt w:val="lowerRoman"/>
      <w:lvlText w:val="%6."/>
      <w:lvlJc w:val="right"/>
      <w:pPr>
        <w:ind w:left="3232" w:hanging="440"/>
      </w:pPr>
    </w:lvl>
    <w:lvl w:ilvl="6" w:tentative="0">
      <w:start w:val="1"/>
      <w:numFmt w:val="decimal"/>
      <w:lvlText w:val="%7."/>
      <w:lvlJc w:val="left"/>
      <w:pPr>
        <w:ind w:left="3672" w:hanging="440"/>
      </w:pPr>
    </w:lvl>
    <w:lvl w:ilvl="7" w:tentative="0">
      <w:start w:val="1"/>
      <w:numFmt w:val="lowerLetter"/>
      <w:lvlText w:val="%8)"/>
      <w:lvlJc w:val="left"/>
      <w:pPr>
        <w:ind w:left="4112" w:hanging="440"/>
      </w:pPr>
    </w:lvl>
    <w:lvl w:ilvl="8" w:tentative="0">
      <w:start w:val="1"/>
      <w:numFmt w:val="lowerRoman"/>
      <w:lvlText w:val="%9."/>
      <w:lvlJc w:val="right"/>
      <w:pPr>
        <w:ind w:left="4552" w:hanging="440"/>
      </w:pPr>
    </w:lvl>
  </w:abstractNum>
  <w:abstractNum w:abstractNumId="2">
    <w:nsid w:val="59ADCABA"/>
    <w:multiLevelType w:val="multilevel"/>
    <w:tmpl w:val="59ADCABA"/>
    <w:lvl w:ilvl="0" w:tentative="0">
      <w:start w:val="3"/>
      <w:numFmt w:val="decimal"/>
      <w:lvlText w:val="%1)."/>
      <w:lvlJc w:val="left"/>
      <w:pPr>
        <w:ind w:left="112" w:hanging="316"/>
        <w:jc w:val="right"/>
      </w:pPr>
      <w:rPr>
        <w:rFonts w:hint="default" w:ascii="宋体" w:hAnsi="宋体" w:eastAsia="宋体" w:cs="宋体"/>
        <w:color w:val="0D0D0D"/>
        <w:spacing w:val="-3"/>
        <w:w w:val="100"/>
        <w:sz w:val="19"/>
        <w:szCs w:val="19"/>
        <w:lang w:val="zh-CN" w:eastAsia="zh-CN" w:bidi="zh-CN"/>
      </w:rPr>
    </w:lvl>
    <w:lvl w:ilvl="1" w:tentative="0">
      <w:start w:val="1"/>
      <w:numFmt w:val="lowerLetter"/>
      <w:lvlText w:val="%2."/>
      <w:lvlJc w:val="left"/>
      <w:pPr>
        <w:ind w:left="2213" w:hanging="428"/>
      </w:pPr>
      <w:rPr>
        <w:rFonts w:hint="default" w:ascii="宋体" w:hAnsi="宋体" w:eastAsia="宋体" w:cs="宋体"/>
        <w:color w:val="0D0D0D"/>
        <w:w w:val="100"/>
        <w:sz w:val="21"/>
        <w:szCs w:val="21"/>
        <w:lang w:val="zh-CN" w:eastAsia="zh-CN" w:bidi="zh-CN"/>
      </w:rPr>
    </w:lvl>
    <w:lvl w:ilvl="2" w:tentative="0">
      <w:start w:val="0"/>
      <w:numFmt w:val="bullet"/>
      <w:lvlText w:val="•"/>
      <w:lvlJc w:val="left"/>
      <w:pPr>
        <w:ind w:left="3091" w:hanging="428"/>
      </w:pPr>
      <w:rPr>
        <w:rFonts w:hint="default"/>
        <w:lang w:val="zh-CN" w:eastAsia="zh-CN" w:bidi="zh-CN"/>
      </w:rPr>
    </w:lvl>
    <w:lvl w:ilvl="3" w:tentative="0">
      <w:start w:val="0"/>
      <w:numFmt w:val="bullet"/>
      <w:lvlText w:val="•"/>
      <w:lvlJc w:val="left"/>
      <w:pPr>
        <w:ind w:left="3963" w:hanging="428"/>
      </w:pPr>
      <w:rPr>
        <w:rFonts w:hint="default"/>
        <w:lang w:val="zh-CN" w:eastAsia="zh-CN" w:bidi="zh-CN"/>
      </w:rPr>
    </w:lvl>
    <w:lvl w:ilvl="4" w:tentative="0">
      <w:start w:val="0"/>
      <w:numFmt w:val="bullet"/>
      <w:lvlText w:val="•"/>
      <w:lvlJc w:val="left"/>
      <w:pPr>
        <w:ind w:left="4835" w:hanging="428"/>
      </w:pPr>
      <w:rPr>
        <w:rFonts w:hint="default"/>
        <w:lang w:val="zh-CN" w:eastAsia="zh-CN" w:bidi="zh-CN"/>
      </w:rPr>
    </w:lvl>
    <w:lvl w:ilvl="5" w:tentative="0">
      <w:start w:val="0"/>
      <w:numFmt w:val="bullet"/>
      <w:lvlText w:val="•"/>
      <w:lvlJc w:val="left"/>
      <w:pPr>
        <w:ind w:left="5707" w:hanging="428"/>
      </w:pPr>
      <w:rPr>
        <w:rFonts w:hint="default"/>
        <w:lang w:val="zh-CN" w:eastAsia="zh-CN" w:bidi="zh-CN"/>
      </w:rPr>
    </w:lvl>
    <w:lvl w:ilvl="6" w:tentative="0">
      <w:start w:val="0"/>
      <w:numFmt w:val="bullet"/>
      <w:lvlText w:val="•"/>
      <w:lvlJc w:val="left"/>
      <w:pPr>
        <w:ind w:left="6579" w:hanging="428"/>
      </w:pPr>
      <w:rPr>
        <w:rFonts w:hint="default"/>
        <w:lang w:val="zh-CN" w:eastAsia="zh-CN" w:bidi="zh-CN"/>
      </w:rPr>
    </w:lvl>
    <w:lvl w:ilvl="7" w:tentative="0">
      <w:start w:val="0"/>
      <w:numFmt w:val="bullet"/>
      <w:lvlText w:val="•"/>
      <w:lvlJc w:val="left"/>
      <w:pPr>
        <w:ind w:left="7450" w:hanging="428"/>
      </w:pPr>
      <w:rPr>
        <w:rFonts w:hint="default"/>
        <w:lang w:val="zh-CN" w:eastAsia="zh-CN" w:bidi="zh-CN"/>
      </w:rPr>
    </w:lvl>
    <w:lvl w:ilvl="8" w:tentative="0">
      <w:start w:val="0"/>
      <w:numFmt w:val="bullet"/>
      <w:lvlText w:val="•"/>
      <w:lvlJc w:val="left"/>
      <w:pPr>
        <w:ind w:left="8322" w:hanging="428"/>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0"/>
  <w:bordersDoNotSurroundFooter w:val="0"/>
  <w:documentProtection w:edit="forms" w:enforcement="1" w:cryptProviderType="rsaFull" w:cryptAlgorithmClass="hash" w:cryptAlgorithmType="typeAny" w:cryptAlgorithmSid="4" w:cryptSpinCount="0" w:hash="EHN51+LcgqBctCnvnXMKCSUGFmw=" w:salt="gdY4MScYhH5s8IrNR3T4EA=="/>
  <w:defaultTabStop w:val="420"/>
  <w:drawingGridHorizontalSpacing w:val="105"/>
  <w:displayHorizontalDrawingGridEvery w:val="1"/>
  <w:displayVerticalDrawingGridEvery w:val="1"/>
  <w:noPunctuationKerning w:val="1"/>
  <w:characterSpacingControl w:val="doNotCompress"/>
  <w:hdrShapeDefaults>
    <o:shapelayout v:ext="edit">
      <o:idmap v:ext="edit" data="1,3,4"/>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Nzg4ZDg1ZWQ2NWM2YThjNjdlYzFhZGJiZDljMTEifQ=="/>
  </w:docVars>
  <w:rsids>
    <w:rsidRoot w:val="004A57A5"/>
    <w:rsid w:val="000037C4"/>
    <w:rsid w:val="001313AC"/>
    <w:rsid w:val="001B0AD8"/>
    <w:rsid w:val="003D197C"/>
    <w:rsid w:val="00410868"/>
    <w:rsid w:val="00443B2B"/>
    <w:rsid w:val="004677DB"/>
    <w:rsid w:val="00491734"/>
    <w:rsid w:val="004A57A5"/>
    <w:rsid w:val="00526620"/>
    <w:rsid w:val="005419AA"/>
    <w:rsid w:val="00590F0C"/>
    <w:rsid w:val="005A1492"/>
    <w:rsid w:val="00712B95"/>
    <w:rsid w:val="007935EB"/>
    <w:rsid w:val="008727F1"/>
    <w:rsid w:val="00882F59"/>
    <w:rsid w:val="008A4145"/>
    <w:rsid w:val="008F5FFF"/>
    <w:rsid w:val="008F6E8B"/>
    <w:rsid w:val="009407ED"/>
    <w:rsid w:val="00AE3D2F"/>
    <w:rsid w:val="00AF7661"/>
    <w:rsid w:val="00B24980"/>
    <w:rsid w:val="00B613CE"/>
    <w:rsid w:val="00BC10FD"/>
    <w:rsid w:val="00C27E7B"/>
    <w:rsid w:val="00C36B5B"/>
    <w:rsid w:val="00C47923"/>
    <w:rsid w:val="00D8123E"/>
    <w:rsid w:val="00E0766B"/>
    <w:rsid w:val="00E45416"/>
    <w:rsid w:val="00EB7063"/>
    <w:rsid w:val="00ED067E"/>
    <w:rsid w:val="00F61C9D"/>
    <w:rsid w:val="00FD60BE"/>
    <w:rsid w:val="010F6DB3"/>
    <w:rsid w:val="011B0745"/>
    <w:rsid w:val="01415A9F"/>
    <w:rsid w:val="0207305F"/>
    <w:rsid w:val="0213533D"/>
    <w:rsid w:val="022A6766"/>
    <w:rsid w:val="03062D2F"/>
    <w:rsid w:val="03165668"/>
    <w:rsid w:val="03274585"/>
    <w:rsid w:val="0328714A"/>
    <w:rsid w:val="03B5196C"/>
    <w:rsid w:val="03CF16A0"/>
    <w:rsid w:val="0427672E"/>
    <w:rsid w:val="051D1A6F"/>
    <w:rsid w:val="05614B95"/>
    <w:rsid w:val="056326BB"/>
    <w:rsid w:val="05A30A44"/>
    <w:rsid w:val="05AA2022"/>
    <w:rsid w:val="05E2016E"/>
    <w:rsid w:val="060E2B1D"/>
    <w:rsid w:val="06F51A39"/>
    <w:rsid w:val="07190281"/>
    <w:rsid w:val="07422E4C"/>
    <w:rsid w:val="07516F96"/>
    <w:rsid w:val="07E51AAD"/>
    <w:rsid w:val="08275C22"/>
    <w:rsid w:val="08E026B7"/>
    <w:rsid w:val="09342B67"/>
    <w:rsid w:val="0ADB7197"/>
    <w:rsid w:val="0B065FC2"/>
    <w:rsid w:val="0B1A7CC0"/>
    <w:rsid w:val="0B291CB1"/>
    <w:rsid w:val="0B562825"/>
    <w:rsid w:val="0B705B32"/>
    <w:rsid w:val="0B957346"/>
    <w:rsid w:val="0BD47E6F"/>
    <w:rsid w:val="0C197F77"/>
    <w:rsid w:val="0C444B1C"/>
    <w:rsid w:val="0C773DB3"/>
    <w:rsid w:val="0CDC057D"/>
    <w:rsid w:val="0D96460A"/>
    <w:rsid w:val="0DD00F0D"/>
    <w:rsid w:val="0DDA1988"/>
    <w:rsid w:val="0DF540CC"/>
    <w:rsid w:val="0E977E0E"/>
    <w:rsid w:val="0E9C09EC"/>
    <w:rsid w:val="0EB43257"/>
    <w:rsid w:val="0F963C9E"/>
    <w:rsid w:val="0FFD40F5"/>
    <w:rsid w:val="0FFD717C"/>
    <w:rsid w:val="10CD7582"/>
    <w:rsid w:val="110344FD"/>
    <w:rsid w:val="111F70FF"/>
    <w:rsid w:val="113E3FDC"/>
    <w:rsid w:val="119D0D03"/>
    <w:rsid w:val="11C664AC"/>
    <w:rsid w:val="11E349A2"/>
    <w:rsid w:val="12256F37"/>
    <w:rsid w:val="12374CB3"/>
    <w:rsid w:val="126927B2"/>
    <w:rsid w:val="12D90460"/>
    <w:rsid w:val="12EA44C1"/>
    <w:rsid w:val="13F07810"/>
    <w:rsid w:val="143B7FF8"/>
    <w:rsid w:val="14737D74"/>
    <w:rsid w:val="14FB46BE"/>
    <w:rsid w:val="15DB004C"/>
    <w:rsid w:val="15F54213"/>
    <w:rsid w:val="16A071E2"/>
    <w:rsid w:val="16A843D2"/>
    <w:rsid w:val="17640153"/>
    <w:rsid w:val="17CC2342"/>
    <w:rsid w:val="1808577F"/>
    <w:rsid w:val="180A4C18"/>
    <w:rsid w:val="181B3E55"/>
    <w:rsid w:val="18417593"/>
    <w:rsid w:val="188E04E5"/>
    <w:rsid w:val="18F03E0E"/>
    <w:rsid w:val="192F4936"/>
    <w:rsid w:val="19CE1075"/>
    <w:rsid w:val="19DB061A"/>
    <w:rsid w:val="1A260A34"/>
    <w:rsid w:val="1A642D06"/>
    <w:rsid w:val="1A760864"/>
    <w:rsid w:val="1A78230D"/>
    <w:rsid w:val="1ABA7766"/>
    <w:rsid w:val="1B803B6F"/>
    <w:rsid w:val="1BA60E1A"/>
    <w:rsid w:val="1BCF2401"/>
    <w:rsid w:val="1BE614F8"/>
    <w:rsid w:val="1CB3762C"/>
    <w:rsid w:val="1D0D30CB"/>
    <w:rsid w:val="1D594678"/>
    <w:rsid w:val="1D837004"/>
    <w:rsid w:val="1DC0582A"/>
    <w:rsid w:val="1DE5415D"/>
    <w:rsid w:val="1E311151"/>
    <w:rsid w:val="1E6908EA"/>
    <w:rsid w:val="1EDA17E8"/>
    <w:rsid w:val="1FD52621"/>
    <w:rsid w:val="204F1D62"/>
    <w:rsid w:val="21481B00"/>
    <w:rsid w:val="215F4C87"/>
    <w:rsid w:val="219F0AC7"/>
    <w:rsid w:val="224D407F"/>
    <w:rsid w:val="22E91FFA"/>
    <w:rsid w:val="238B30B1"/>
    <w:rsid w:val="23A83C63"/>
    <w:rsid w:val="246062EC"/>
    <w:rsid w:val="251F5133"/>
    <w:rsid w:val="25283A00"/>
    <w:rsid w:val="25A93A08"/>
    <w:rsid w:val="25FC2044"/>
    <w:rsid w:val="26151358"/>
    <w:rsid w:val="26A56238"/>
    <w:rsid w:val="26E74D6D"/>
    <w:rsid w:val="271C3EDE"/>
    <w:rsid w:val="27315D1D"/>
    <w:rsid w:val="27817861"/>
    <w:rsid w:val="278A5AE8"/>
    <w:rsid w:val="27E62FAC"/>
    <w:rsid w:val="28767A0D"/>
    <w:rsid w:val="28B906C0"/>
    <w:rsid w:val="28ED3EC6"/>
    <w:rsid w:val="29351EDB"/>
    <w:rsid w:val="293E5DCA"/>
    <w:rsid w:val="29AC3D81"/>
    <w:rsid w:val="2A0911D4"/>
    <w:rsid w:val="2A522B7B"/>
    <w:rsid w:val="2A9D36CA"/>
    <w:rsid w:val="2AA4545A"/>
    <w:rsid w:val="2AD72FAC"/>
    <w:rsid w:val="2B2362C5"/>
    <w:rsid w:val="2B746B21"/>
    <w:rsid w:val="2BB807BB"/>
    <w:rsid w:val="2C2440A3"/>
    <w:rsid w:val="2C4604BD"/>
    <w:rsid w:val="2C6941AB"/>
    <w:rsid w:val="2C99083A"/>
    <w:rsid w:val="2CB82A3D"/>
    <w:rsid w:val="2CC94C4A"/>
    <w:rsid w:val="2D23435A"/>
    <w:rsid w:val="2D6F496A"/>
    <w:rsid w:val="2DBF7F69"/>
    <w:rsid w:val="2DF87595"/>
    <w:rsid w:val="2E0109E8"/>
    <w:rsid w:val="2E083758"/>
    <w:rsid w:val="2E0A179A"/>
    <w:rsid w:val="2E910CBA"/>
    <w:rsid w:val="2EC27BA3"/>
    <w:rsid w:val="2EF73DCC"/>
    <w:rsid w:val="2F486E88"/>
    <w:rsid w:val="2F4D088F"/>
    <w:rsid w:val="2FA24903"/>
    <w:rsid w:val="2FE801F5"/>
    <w:rsid w:val="2FF40230"/>
    <w:rsid w:val="305807BF"/>
    <w:rsid w:val="30751371"/>
    <w:rsid w:val="30A13D8A"/>
    <w:rsid w:val="30A25969"/>
    <w:rsid w:val="30CD43CB"/>
    <w:rsid w:val="311A3CC6"/>
    <w:rsid w:val="31956FDB"/>
    <w:rsid w:val="31BD5EBD"/>
    <w:rsid w:val="322C1F03"/>
    <w:rsid w:val="329B4993"/>
    <w:rsid w:val="329D070B"/>
    <w:rsid w:val="329D531E"/>
    <w:rsid w:val="336978E6"/>
    <w:rsid w:val="336A2681"/>
    <w:rsid w:val="33D71E67"/>
    <w:rsid w:val="34016539"/>
    <w:rsid w:val="34326435"/>
    <w:rsid w:val="356B18E7"/>
    <w:rsid w:val="35884863"/>
    <w:rsid w:val="358E07DF"/>
    <w:rsid w:val="35D94150"/>
    <w:rsid w:val="35E13004"/>
    <w:rsid w:val="35F25212"/>
    <w:rsid w:val="35F5260C"/>
    <w:rsid w:val="366323DE"/>
    <w:rsid w:val="36B129D7"/>
    <w:rsid w:val="36C02C1A"/>
    <w:rsid w:val="3790463E"/>
    <w:rsid w:val="37F714C1"/>
    <w:rsid w:val="3801798E"/>
    <w:rsid w:val="387B47CC"/>
    <w:rsid w:val="394E275F"/>
    <w:rsid w:val="39B27192"/>
    <w:rsid w:val="39CD658B"/>
    <w:rsid w:val="39D60D7D"/>
    <w:rsid w:val="3A2229C6"/>
    <w:rsid w:val="3A2910F4"/>
    <w:rsid w:val="3A3E2A79"/>
    <w:rsid w:val="3A5913BB"/>
    <w:rsid w:val="3AA6037E"/>
    <w:rsid w:val="3B092B64"/>
    <w:rsid w:val="3B1D4650"/>
    <w:rsid w:val="3B202833"/>
    <w:rsid w:val="3BBA2588"/>
    <w:rsid w:val="3BFD221A"/>
    <w:rsid w:val="3C5E6C9A"/>
    <w:rsid w:val="3CA56B3A"/>
    <w:rsid w:val="3CAF5C0A"/>
    <w:rsid w:val="3D0C0967"/>
    <w:rsid w:val="3D606F05"/>
    <w:rsid w:val="3D747BFC"/>
    <w:rsid w:val="3DB37E93"/>
    <w:rsid w:val="3E4F1453"/>
    <w:rsid w:val="3EE939CC"/>
    <w:rsid w:val="3F422D66"/>
    <w:rsid w:val="3FC90D91"/>
    <w:rsid w:val="3FD569E5"/>
    <w:rsid w:val="400E0926"/>
    <w:rsid w:val="4077259B"/>
    <w:rsid w:val="40ED6D01"/>
    <w:rsid w:val="410E3FFA"/>
    <w:rsid w:val="41436921"/>
    <w:rsid w:val="41764F49"/>
    <w:rsid w:val="419378A9"/>
    <w:rsid w:val="41CC50DA"/>
    <w:rsid w:val="41F205E7"/>
    <w:rsid w:val="42472441"/>
    <w:rsid w:val="42DA5063"/>
    <w:rsid w:val="431247FD"/>
    <w:rsid w:val="43366EA0"/>
    <w:rsid w:val="43466557"/>
    <w:rsid w:val="4366095F"/>
    <w:rsid w:val="437454B8"/>
    <w:rsid w:val="43AD1179"/>
    <w:rsid w:val="43C24475"/>
    <w:rsid w:val="43F63E47"/>
    <w:rsid w:val="445D7CFA"/>
    <w:rsid w:val="45341339"/>
    <w:rsid w:val="45727F41"/>
    <w:rsid w:val="457651D3"/>
    <w:rsid w:val="458319E2"/>
    <w:rsid w:val="458A2D71"/>
    <w:rsid w:val="45A34166"/>
    <w:rsid w:val="460B7586"/>
    <w:rsid w:val="465D35EB"/>
    <w:rsid w:val="466956A5"/>
    <w:rsid w:val="468974CC"/>
    <w:rsid w:val="47535C3D"/>
    <w:rsid w:val="484A2C8B"/>
    <w:rsid w:val="4867383D"/>
    <w:rsid w:val="486F3408"/>
    <w:rsid w:val="48D015CD"/>
    <w:rsid w:val="491A08B0"/>
    <w:rsid w:val="499172CD"/>
    <w:rsid w:val="4A000EDD"/>
    <w:rsid w:val="4A05275C"/>
    <w:rsid w:val="4A8E3F79"/>
    <w:rsid w:val="4BEA27BB"/>
    <w:rsid w:val="4BF93AFD"/>
    <w:rsid w:val="4C9149E5"/>
    <w:rsid w:val="4CEC2563"/>
    <w:rsid w:val="4CF0209D"/>
    <w:rsid w:val="4D397978"/>
    <w:rsid w:val="4D5679DC"/>
    <w:rsid w:val="4D5F775B"/>
    <w:rsid w:val="4DAC584E"/>
    <w:rsid w:val="4DD86643"/>
    <w:rsid w:val="4E311EE5"/>
    <w:rsid w:val="4E4837C9"/>
    <w:rsid w:val="4EAD7AD0"/>
    <w:rsid w:val="4EFE6975"/>
    <w:rsid w:val="4FAE7745"/>
    <w:rsid w:val="50BE4216"/>
    <w:rsid w:val="51F973ED"/>
    <w:rsid w:val="523E33DE"/>
    <w:rsid w:val="527903F5"/>
    <w:rsid w:val="52FD7421"/>
    <w:rsid w:val="53D1600F"/>
    <w:rsid w:val="53DA1367"/>
    <w:rsid w:val="54063F0A"/>
    <w:rsid w:val="543B2B99"/>
    <w:rsid w:val="5479137A"/>
    <w:rsid w:val="54F22F39"/>
    <w:rsid w:val="55236D3E"/>
    <w:rsid w:val="553B6A18"/>
    <w:rsid w:val="5563713A"/>
    <w:rsid w:val="557F21C6"/>
    <w:rsid w:val="55A17EE3"/>
    <w:rsid w:val="55E0078B"/>
    <w:rsid w:val="565C6063"/>
    <w:rsid w:val="56986138"/>
    <w:rsid w:val="56B20379"/>
    <w:rsid w:val="56B52F3D"/>
    <w:rsid w:val="574F16AC"/>
    <w:rsid w:val="57E97DCB"/>
    <w:rsid w:val="58407B49"/>
    <w:rsid w:val="585D2567"/>
    <w:rsid w:val="586236D9"/>
    <w:rsid w:val="588F6E1D"/>
    <w:rsid w:val="58CD149A"/>
    <w:rsid w:val="5939268C"/>
    <w:rsid w:val="5A533AA6"/>
    <w:rsid w:val="5A6B0F6B"/>
    <w:rsid w:val="5A845B89"/>
    <w:rsid w:val="5AB02E22"/>
    <w:rsid w:val="5ADB156D"/>
    <w:rsid w:val="5B073454"/>
    <w:rsid w:val="5B1B7148"/>
    <w:rsid w:val="5B24111A"/>
    <w:rsid w:val="5BC621D1"/>
    <w:rsid w:val="5BF46D3E"/>
    <w:rsid w:val="5BF93EE9"/>
    <w:rsid w:val="5C337866"/>
    <w:rsid w:val="5C5679F9"/>
    <w:rsid w:val="5C667271"/>
    <w:rsid w:val="5C6C2D78"/>
    <w:rsid w:val="5CA00C74"/>
    <w:rsid w:val="5CA644DC"/>
    <w:rsid w:val="5CE648D9"/>
    <w:rsid w:val="5D190FF1"/>
    <w:rsid w:val="5D4930BA"/>
    <w:rsid w:val="5D4B54DD"/>
    <w:rsid w:val="5D995DEF"/>
    <w:rsid w:val="5DF9688E"/>
    <w:rsid w:val="5EAB578A"/>
    <w:rsid w:val="5F6819A8"/>
    <w:rsid w:val="60086481"/>
    <w:rsid w:val="60C170FF"/>
    <w:rsid w:val="610F0176"/>
    <w:rsid w:val="613E1319"/>
    <w:rsid w:val="617215D0"/>
    <w:rsid w:val="620F48D2"/>
    <w:rsid w:val="622048E2"/>
    <w:rsid w:val="62B4149C"/>
    <w:rsid w:val="62FC6C1E"/>
    <w:rsid w:val="630321C4"/>
    <w:rsid w:val="633640E0"/>
    <w:rsid w:val="63393340"/>
    <w:rsid w:val="64634A61"/>
    <w:rsid w:val="649317EA"/>
    <w:rsid w:val="64AA6B34"/>
    <w:rsid w:val="64F73BBC"/>
    <w:rsid w:val="65BF660F"/>
    <w:rsid w:val="65D541E6"/>
    <w:rsid w:val="661A55F3"/>
    <w:rsid w:val="666E2AF9"/>
    <w:rsid w:val="669C483E"/>
    <w:rsid w:val="670C5884"/>
    <w:rsid w:val="678B58B0"/>
    <w:rsid w:val="68DE7EB6"/>
    <w:rsid w:val="69821E2D"/>
    <w:rsid w:val="69C1382D"/>
    <w:rsid w:val="69CC5926"/>
    <w:rsid w:val="69E77EE2"/>
    <w:rsid w:val="6A760E95"/>
    <w:rsid w:val="6B0F76F1"/>
    <w:rsid w:val="6B1E5B86"/>
    <w:rsid w:val="6B347157"/>
    <w:rsid w:val="6C0528A2"/>
    <w:rsid w:val="6C8B31BE"/>
    <w:rsid w:val="6D0F1C2A"/>
    <w:rsid w:val="6D2B0F9C"/>
    <w:rsid w:val="6D2C6651"/>
    <w:rsid w:val="6DA07D03"/>
    <w:rsid w:val="6DA94EBA"/>
    <w:rsid w:val="6DB97A35"/>
    <w:rsid w:val="6E0252EB"/>
    <w:rsid w:val="6E1119D2"/>
    <w:rsid w:val="6E530022"/>
    <w:rsid w:val="6E5F098F"/>
    <w:rsid w:val="6E761EC2"/>
    <w:rsid w:val="6EDD18B4"/>
    <w:rsid w:val="6EF0440F"/>
    <w:rsid w:val="6F014B14"/>
    <w:rsid w:val="6F79782E"/>
    <w:rsid w:val="6FC54822"/>
    <w:rsid w:val="70576D06"/>
    <w:rsid w:val="70B0075E"/>
    <w:rsid w:val="70D94A29"/>
    <w:rsid w:val="712A5284"/>
    <w:rsid w:val="71B11502"/>
    <w:rsid w:val="71B43858"/>
    <w:rsid w:val="736916DB"/>
    <w:rsid w:val="738437CC"/>
    <w:rsid w:val="73C123F0"/>
    <w:rsid w:val="73E32852"/>
    <w:rsid w:val="745868BA"/>
    <w:rsid w:val="749649DF"/>
    <w:rsid w:val="750B1798"/>
    <w:rsid w:val="76037E52"/>
    <w:rsid w:val="76944F4E"/>
    <w:rsid w:val="76BA0E58"/>
    <w:rsid w:val="76D11A8C"/>
    <w:rsid w:val="76E40BD9"/>
    <w:rsid w:val="77550B81"/>
    <w:rsid w:val="775A1CF3"/>
    <w:rsid w:val="78322C70"/>
    <w:rsid w:val="7844763B"/>
    <w:rsid w:val="78BB0EB8"/>
    <w:rsid w:val="78BE11AE"/>
    <w:rsid w:val="78D6184E"/>
    <w:rsid w:val="79DF0BD6"/>
    <w:rsid w:val="7B18439F"/>
    <w:rsid w:val="7BB55980"/>
    <w:rsid w:val="7BF070CA"/>
    <w:rsid w:val="7C855A65"/>
    <w:rsid w:val="7C96335E"/>
    <w:rsid w:val="7D1B3CD3"/>
    <w:rsid w:val="7D617181"/>
    <w:rsid w:val="7FCB2E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1"/>
    <w:pPr>
      <w:spacing w:before="37"/>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532"/>
      <w:outlineLvl w:val="2"/>
    </w:pPr>
    <w:rPr>
      <w:rFonts w:ascii="宋体" w:hAnsi="宋体" w:eastAsia="宋体" w:cs="宋体"/>
      <w:b/>
      <w:bCs/>
      <w:sz w:val="24"/>
      <w:szCs w:val="24"/>
      <w:lang w:val="zh-CN" w:eastAsia="zh-CN" w:bidi="zh-CN"/>
    </w:rPr>
  </w:style>
  <w:style w:type="paragraph" w:styleId="4">
    <w:name w:val="heading 3"/>
    <w:basedOn w:val="1"/>
    <w:next w:val="1"/>
    <w:qFormat/>
    <w:uiPriority w:val="1"/>
    <w:pPr>
      <w:ind w:left="613" w:hanging="382"/>
      <w:outlineLvl w:val="2"/>
    </w:pPr>
    <w:rPr>
      <w:b/>
      <w:bCs/>
      <w:sz w:val="21"/>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4"/>
      <w:szCs w:val="24"/>
    </w:rPr>
  </w:style>
  <w:style w:type="paragraph" w:styleId="6">
    <w:name w:val="Date"/>
    <w:basedOn w:val="1"/>
    <w:next w:val="1"/>
    <w:qFormat/>
    <w:uiPriority w:val="0"/>
    <w:rPr>
      <w:rFonts w:asciiTheme="minorHAnsi" w:hAnsiTheme="minorHAnsi" w:cstheme="minorBidi"/>
      <w:sz w:val="24"/>
      <w:szCs w:val="22"/>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style>
  <w:style w:type="paragraph" w:styleId="11">
    <w:name w:val="Subtitle"/>
    <w:basedOn w:val="1"/>
    <w:next w:val="1"/>
    <w:qFormat/>
    <w:uiPriority w:val="11"/>
    <w:pPr>
      <w:spacing w:before="240" w:after="60" w:line="312" w:lineRule="auto"/>
      <w:jc w:val="center"/>
      <w:outlineLvl w:val="1"/>
    </w:pPr>
    <w:rPr>
      <w:b/>
      <w:bCs/>
      <w:kern w:val="28"/>
      <w:sz w:val="32"/>
      <w:szCs w:val="32"/>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黑体" w:hAnsi="黑体" w:eastAsia="黑体" w:cs="黑体"/>
      <w:sz w:val="24"/>
      <w:szCs w:val="24"/>
    </w:rPr>
  </w:style>
  <w:style w:type="character" w:customStyle="1" w:styleId="18">
    <w:name w:val="批注框文本 Char"/>
    <w:basedOn w:val="15"/>
    <w:link w:val="7"/>
    <w:qFormat/>
    <w:uiPriority w:val="0"/>
    <w:rPr>
      <w:rFonts w:eastAsia="Arial"/>
      <w:snapToGrid w:val="0"/>
      <w:color w:val="000000"/>
      <w:sz w:val="18"/>
      <w:szCs w:val="18"/>
      <w:lang w:eastAsia="en-US"/>
    </w:rPr>
  </w:style>
  <w:style w:type="character" w:customStyle="1" w:styleId="19">
    <w:name w:val="页眉 Char"/>
    <w:basedOn w:val="15"/>
    <w:link w:val="9"/>
    <w:qFormat/>
    <w:uiPriority w:val="0"/>
    <w:rPr>
      <w:rFonts w:eastAsia="Arial"/>
      <w:snapToGrid w:val="0"/>
      <w:color w:val="000000"/>
      <w:sz w:val="18"/>
      <w:szCs w:val="18"/>
      <w:lang w:eastAsia="en-US"/>
    </w:rPr>
  </w:style>
  <w:style w:type="paragraph" w:customStyle="1" w:styleId="2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styleId="21">
    <w:name w:val="List Paragraph"/>
    <w:basedOn w:val="1"/>
    <w:qFormat/>
    <w:uiPriority w:val="1"/>
    <w:pPr>
      <w:spacing w:before="147"/>
      <w:ind w:left="140" w:hanging="421"/>
    </w:p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No Spacing"/>
    <w:qFormat/>
    <w:uiPriority w:val="1"/>
    <w:rPr>
      <w:rFonts w:eastAsia="Microsoft YaHei UI" w:asciiTheme="minorHAnsi" w:hAnsiTheme="minorHAnsi"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A8F17-4092-46EA-AD09-F0498CEF7BA7}">
  <ds:schemaRefs/>
</ds:datastoreItem>
</file>

<file path=docProps/app.xml><?xml version="1.0" encoding="utf-8"?>
<Properties xmlns="http://schemas.openxmlformats.org/officeDocument/2006/extended-properties" xmlns:vt="http://schemas.openxmlformats.org/officeDocument/2006/docPropsVTypes">
  <Template>Normal</Template>
  <Pages>18</Pages>
  <Words>10245</Words>
  <Characters>10349</Characters>
  <Lines>83</Lines>
  <Paragraphs>23</Paragraphs>
  <TotalTime>7</TotalTime>
  <ScaleCrop>false</ScaleCrop>
  <LinksUpToDate>false</LinksUpToDate>
  <CharactersWithSpaces>10608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2023-07-06T12:11:00Z</dcterms:created>
  <dc:creator>张璐璐</dc:creator>
  <cp:lastModifiedBy>胥龙海</cp:lastModifiedBy>
  <cp:lastPrinted>2023-07-06T13:42:00Z</cp:lastPrinted>
  <dcterms:modified xsi:type="dcterms:W3CDTF">2024-10-07T09:27:58Z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2023-07-05T14:49:48Z</vt:filetime>
  </property>
  <property fmtid="{D5CDD505-2E9C-101B-9397-08002B2CF9AE}" pid="4" name="KSOProductBuildVer">
    <vt:lpwstr>2052-12.1.0.18276</vt:lpwstr>
  </property>
  <property fmtid="{D5CDD505-2E9C-101B-9397-08002B2CF9AE}" pid="5" name="ICV">
    <vt:lpwstr>0EBBBCD1F3B846EAAD6200FEACB374B6_13</vt:lpwstr>
  </property>
</Properties>
</file>