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AF90DB">
      <w:pPr>
        <w:tabs>
          <w:tab w:val="left" w:pos="2622"/>
        </w:tabs>
        <w:spacing w:line="360" w:lineRule="auto"/>
        <w:ind w:right="-588" w:rightChars="-280"/>
        <w:rPr>
          <w:rFonts w:hint="eastAsia" w:eastAsia="黑体"/>
          <w:b/>
          <w:sz w:val="48"/>
          <w:lang w:eastAsia="zh-CN"/>
        </w:rPr>
      </w:pPr>
      <w:bookmarkStart w:id="0" w:name="_GoBack"/>
      <w:bookmarkEnd w:id="0"/>
      <w:r>
        <w:rPr>
          <w:rFonts w:hint="eastAsia" w:eastAsia="黑体"/>
          <w:b/>
          <w:sz w:val="48"/>
          <w:lang w:eastAsia="zh-CN"/>
        </w:rPr>
        <w:tab/>
      </w:r>
    </w:p>
    <w:p w14:paraId="205E4778">
      <w:pPr>
        <w:spacing w:line="360" w:lineRule="auto"/>
        <w:ind w:right="-588" w:rightChars="-280"/>
        <w:rPr>
          <w:rFonts w:hint="eastAsia" w:eastAsia="黑体"/>
          <w:b/>
          <w:sz w:val="48"/>
          <w:lang w:eastAsia="zh-CN"/>
        </w:rPr>
      </w:pPr>
    </w:p>
    <w:p w14:paraId="1A1D08BB">
      <w:pPr>
        <w:spacing w:line="360" w:lineRule="auto"/>
        <w:ind w:right="-588" w:rightChars="-280" w:firstLine="733" w:firstLineChars="141"/>
        <w:rPr>
          <w:rFonts w:hint="eastAsia" w:eastAsia="黑体"/>
          <w:sz w:val="52"/>
          <w:szCs w:val="52"/>
        </w:rPr>
      </w:pPr>
      <w:r>
        <w:rPr>
          <w:rFonts w:hint="eastAsia" w:eastAsia="黑体"/>
          <w:sz w:val="52"/>
          <w:szCs w:val="52"/>
          <w:lang w:eastAsia="zh-CN"/>
        </w:rPr>
        <w:drawing>
          <wp:anchor distT="0" distB="0" distL="114300" distR="114300" simplePos="0" relativeHeight="251664384" behindDoc="0" locked="0" layoutInCell="1" allowOverlap="1">
            <wp:simplePos x="0" y="0"/>
            <wp:positionH relativeFrom="column">
              <wp:posOffset>1880235</wp:posOffset>
            </wp:positionH>
            <wp:positionV relativeFrom="paragraph">
              <wp:posOffset>5080</wp:posOffset>
            </wp:positionV>
            <wp:extent cx="2962910" cy="2498090"/>
            <wp:effectExtent l="0" t="0" r="8890" b="16510"/>
            <wp:wrapNone/>
            <wp:docPr id="4" name="图片 4" descr="ZBCC-03-J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ZBCC-03-JS-001.JPG"/>
                    <pic:cNvPicPr>
                      <a:picLocks noChangeAspect="1"/>
                    </pic:cNvPicPr>
                  </pic:nvPicPr>
                  <pic:blipFill>
                    <a:blip r:embed="rId13"/>
                    <a:stretch>
                      <a:fillRect/>
                    </a:stretch>
                  </pic:blipFill>
                  <pic:spPr>
                    <a:xfrm>
                      <a:off x="0" y="0"/>
                      <a:ext cx="2962910" cy="2498090"/>
                    </a:xfrm>
                    <a:prstGeom prst="rect">
                      <a:avLst/>
                    </a:prstGeom>
                    <a:gradFill>
                      <a:gsLst>
                        <a:gs pos="27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pic:spPr>
                </pic:pic>
              </a:graphicData>
            </a:graphic>
          </wp:anchor>
        </w:drawing>
      </w:r>
      <w:r>
        <w:rPr>
          <w:rFonts w:hint="eastAsia" w:eastAsia="黑体"/>
          <w:sz w:val="52"/>
          <w:szCs w:val="52"/>
        </w:rPr>
        <w:t xml:space="preserve">   </w:t>
      </w:r>
    </w:p>
    <w:p w14:paraId="5DB0F64D">
      <w:pPr>
        <w:spacing w:line="360" w:lineRule="auto"/>
        <w:ind w:right="-588" w:rightChars="-280" w:firstLine="733" w:firstLineChars="141"/>
        <w:rPr>
          <w:rFonts w:hint="eastAsia" w:eastAsia="黑体"/>
          <w:sz w:val="52"/>
          <w:szCs w:val="52"/>
        </w:rPr>
      </w:pPr>
    </w:p>
    <w:p w14:paraId="45DE8CAB">
      <w:pPr>
        <w:spacing w:line="360" w:lineRule="auto"/>
        <w:ind w:right="-588" w:rightChars="-280" w:firstLine="733" w:firstLineChars="141"/>
        <w:rPr>
          <w:rFonts w:hint="eastAsia" w:eastAsia="黑体"/>
          <w:sz w:val="52"/>
          <w:szCs w:val="52"/>
        </w:rPr>
      </w:pPr>
    </w:p>
    <w:p w14:paraId="48C87B28">
      <w:pPr>
        <w:spacing w:line="360" w:lineRule="auto"/>
        <w:ind w:right="-588" w:rightChars="-280" w:firstLine="733" w:firstLineChars="141"/>
        <w:rPr>
          <w:rFonts w:hint="eastAsia" w:eastAsia="黑体"/>
          <w:sz w:val="52"/>
          <w:szCs w:val="52"/>
        </w:rPr>
      </w:pPr>
    </w:p>
    <w:p w14:paraId="1056535C">
      <w:pPr>
        <w:spacing w:line="360" w:lineRule="auto"/>
        <w:ind w:right="-588" w:rightChars="-280" w:firstLine="592" w:firstLineChars="141"/>
        <w:rPr>
          <w:rFonts w:ascii="宋体" w:hAnsi="宋体"/>
          <w:spacing w:val="30"/>
          <w:sz w:val="36"/>
        </w:rPr>
      </w:pPr>
      <w:r>
        <w:rPr>
          <w:rFonts w:ascii="宋体" w:hAnsi="宋体"/>
          <w:spacing w:val="30"/>
          <w:sz w:val="36"/>
        </w:rPr>
        <mc:AlternateContent>
          <mc:Choice Requires="wps">
            <w:drawing>
              <wp:anchor distT="0" distB="0" distL="114300" distR="114300" simplePos="0" relativeHeight="251663360" behindDoc="0" locked="0" layoutInCell="1" allowOverlap="1">
                <wp:simplePos x="0" y="0"/>
                <wp:positionH relativeFrom="column">
                  <wp:posOffset>-284480</wp:posOffset>
                </wp:positionH>
                <wp:positionV relativeFrom="paragraph">
                  <wp:posOffset>9099550</wp:posOffset>
                </wp:positionV>
                <wp:extent cx="7600950" cy="635"/>
                <wp:effectExtent l="0" t="28575" r="0" b="46990"/>
                <wp:wrapNone/>
                <wp:docPr id="5" name="直接连接符 5"/>
                <wp:cNvGraphicFramePr/>
                <a:graphic xmlns:a="http://schemas.openxmlformats.org/drawingml/2006/main">
                  <a:graphicData uri="http://schemas.microsoft.com/office/word/2010/wordprocessingShape">
                    <wps:wsp>
                      <wps:cNvCnPr/>
                      <wps:spPr>
                        <a:xfrm>
                          <a:off x="0" y="0"/>
                          <a:ext cx="7600950" cy="635"/>
                        </a:xfrm>
                        <a:prstGeom prst="line">
                          <a:avLst/>
                        </a:prstGeom>
                        <a:ln w="57150" cap="flat" cmpd="thinThick">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2.4pt;margin-top:716.5pt;height:0.05pt;width:598.5pt;z-index:251663360;mso-width-relative:page;mso-height-relative:page;" filled="f" stroked="t" coordsize="21600,21600" o:gfxdata="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H+hRrcAAAADgEAAA8AAAAAAAAAAQAgAAAAIgAAAGRycy9kb3du&#10;cmV2LnhtbFBLAQIUABQAAAAIAIdO4kC3C++4+wEAAO0DAAAOAAAAAAAAAAEAIAAAACsBAABkcnMv&#10;ZTJvRG9jLnhtbFBLBQYAAAAABgAGAFkBAACYBQAAAAA=&#10;">
                <v:fill on="f" focussize="0,0"/>
                <v:stroke weight="4.5pt" color="#000000" linestyle="thinThick" joinstyle="round"/>
                <v:imagedata o:title=""/>
                <o:lock v:ext="edit" aspectratio="f"/>
              </v:line>
            </w:pict>
          </mc:Fallback>
        </mc:AlternateContent>
      </w:r>
    </w:p>
    <w:p w14:paraId="6089C99B">
      <w:pPr>
        <w:spacing w:line="240" w:lineRule="auto"/>
        <w:ind w:right="-588" w:rightChars="-280" w:firstLine="1245" w:firstLineChars="141"/>
        <w:rPr>
          <w:rFonts w:hint="eastAsia" w:eastAsia="楷体_GB2312"/>
          <w:b/>
          <w:spacing w:val="20"/>
          <w:sz w:val="84"/>
          <w:lang w:val="en-US" w:eastAsia="zh-CN"/>
        </w:rPr>
      </w:pPr>
      <w:r>
        <w:rPr>
          <w:rFonts w:hint="eastAsia" w:eastAsia="楷体_GB2312"/>
          <w:b/>
          <w:spacing w:val="20"/>
          <w:sz w:val="84"/>
          <w:lang w:val="en-US" w:eastAsia="zh-CN"/>
        </w:rPr>
        <w:t>有害物质过程管理体系</w:t>
      </w:r>
    </w:p>
    <w:p w14:paraId="3D55159A">
      <w:pPr>
        <w:spacing w:line="240" w:lineRule="auto"/>
        <w:ind w:right="-588" w:rightChars="-280"/>
        <w:jc w:val="center"/>
        <w:rPr>
          <w:rFonts w:hint="eastAsia" w:ascii="Times New Roman" w:hAnsi="Times New Roman"/>
          <w:b/>
          <w:kern w:val="0"/>
          <w:sz w:val="44"/>
          <w:szCs w:val="44"/>
        </w:rPr>
      </w:pPr>
      <w:r>
        <w:rPr>
          <w:rFonts w:hint="eastAsia" w:eastAsia="楷体_GB2312"/>
          <w:b/>
          <w:spacing w:val="20"/>
          <w:sz w:val="84"/>
          <w:lang w:val="en-US" w:eastAsia="zh-CN"/>
        </w:rPr>
        <w:t>认证规则</w:t>
      </w:r>
    </w:p>
    <w:p w14:paraId="014363D8">
      <w:pPr>
        <w:spacing w:line="360" w:lineRule="auto"/>
        <w:ind w:right="-29" w:rightChars="-14"/>
        <w:rPr>
          <w:b/>
          <w:sz w:val="30"/>
          <w:szCs w:val="30"/>
        </w:rPr>
      </w:pPr>
    </w:p>
    <w:p w14:paraId="1C9F6F0C">
      <w:pPr>
        <w:spacing w:line="480" w:lineRule="auto"/>
        <w:ind w:right="-29" w:rightChars="-14" w:firstLine="3614" w:firstLineChars="1200"/>
        <w:rPr>
          <w:rFonts w:hint="default" w:ascii="宋体" w:hAnsi="宋体" w:eastAsia="宋体" w:cs="宋体"/>
          <w:b/>
          <w:sz w:val="30"/>
          <w:szCs w:val="30"/>
          <w:lang w:val="en-US" w:eastAsia="zh-CN"/>
        </w:rPr>
      </w:pPr>
      <w:r>
        <w:rPr>
          <w:rFonts w:hint="eastAsia" w:ascii="宋体" w:hAnsi="宋体" w:eastAsia="宋体" w:cs="宋体"/>
          <w:b/>
          <w:sz w:val="30"/>
          <w:szCs w:val="30"/>
        </w:rPr>
        <w:t>文件</w:t>
      </w:r>
      <w:r>
        <w:rPr>
          <w:rFonts w:hint="eastAsia" w:ascii="宋体" w:hAnsi="宋体" w:cs="宋体"/>
          <w:b/>
          <w:sz w:val="30"/>
          <w:szCs w:val="30"/>
          <w:lang w:val="en-US" w:eastAsia="zh-CN"/>
        </w:rPr>
        <w:t>编</w:t>
      </w:r>
      <w:r>
        <w:rPr>
          <w:rFonts w:hint="eastAsia" w:ascii="宋体" w:hAnsi="宋体" w:eastAsia="宋体" w:cs="宋体"/>
          <w:b/>
          <w:sz w:val="30"/>
          <w:szCs w:val="30"/>
        </w:rPr>
        <w:t>号</w:t>
      </w:r>
      <w:r>
        <w:rPr>
          <w:rFonts w:hint="eastAsia" w:ascii="宋体" w:hAnsi="宋体" w:cs="宋体"/>
          <w:b/>
          <w:sz w:val="30"/>
          <w:szCs w:val="30"/>
          <w:lang w:val="en-US" w:eastAsia="zh-CN"/>
        </w:rPr>
        <w:t xml:space="preserve"> </w:t>
      </w:r>
      <w:r>
        <w:rPr>
          <w:rFonts w:hint="eastAsia" w:ascii="宋体" w:hAnsi="宋体" w:eastAsia="宋体" w:cs="宋体"/>
          <w:b/>
          <w:sz w:val="30"/>
          <w:szCs w:val="30"/>
        </w:rPr>
        <w:t>：</w:t>
      </w:r>
      <w:r>
        <w:rPr>
          <w:rFonts w:hint="eastAsia" w:ascii="宋体" w:hAnsi="宋体" w:eastAsia="宋体" w:cs="宋体"/>
          <w:b/>
          <w:sz w:val="30"/>
          <w:szCs w:val="30"/>
          <w:lang w:val="en-US" w:eastAsia="zh-CN"/>
        </w:rPr>
        <w:t xml:space="preserve">ZBCC-RZGZ-008 </w:t>
      </w:r>
    </w:p>
    <w:p w14:paraId="26474C22">
      <w:pPr>
        <w:spacing w:line="480" w:lineRule="auto"/>
        <w:ind w:right="-29" w:rightChars="-14" w:firstLine="3614" w:firstLineChars="1200"/>
        <w:rPr>
          <w:rFonts w:hint="default" w:ascii="宋体" w:hAnsi="宋体" w:eastAsia="宋体" w:cs="宋体"/>
          <w:b/>
          <w:sz w:val="28"/>
          <w:szCs w:val="28"/>
          <w:lang w:val="en-US"/>
        </w:rPr>
      </w:pPr>
      <w:r>
        <w:rPr>
          <w:rFonts w:hint="eastAsia" w:ascii="宋体" w:hAnsi="宋体" w:eastAsia="宋体" w:cs="宋体"/>
          <w:b/>
          <w:sz w:val="30"/>
          <w:szCs w:val="30"/>
          <w:lang w:val="en-US" w:eastAsia="zh-CN"/>
        </w:rPr>
        <w:drawing>
          <wp:anchor distT="0" distB="0" distL="114300" distR="114300" simplePos="0" relativeHeight="251667456" behindDoc="0" locked="0" layoutInCell="1" allowOverlap="1">
            <wp:simplePos x="0" y="0"/>
            <wp:positionH relativeFrom="column">
              <wp:posOffset>3305175</wp:posOffset>
            </wp:positionH>
            <wp:positionV relativeFrom="paragraph">
              <wp:posOffset>488950</wp:posOffset>
            </wp:positionV>
            <wp:extent cx="1023620" cy="274320"/>
            <wp:effectExtent l="0" t="0" r="5080" b="11430"/>
            <wp:wrapNone/>
            <wp:docPr id="39" name="图片 39" descr="f5ab35c68014399c9d51837490a70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f5ab35c68014399c9d51837490a70cb"/>
                    <pic:cNvPicPr>
                      <a:picLocks noChangeAspect="1"/>
                    </pic:cNvPicPr>
                  </pic:nvPicPr>
                  <pic:blipFill>
                    <a:blip r:embed="rId14"/>
                    <a:stretch>
                      <a:fillRect/>
                    </a:stretch>
                  </pic:blipFill>
                  <pic:spPr>
                    <a:xfrm>
                      <a:off x="0" y="0"/>
                      <a:ext cx="1023620" cy="274320"/>
                    </a:xfrm>
                    <a:prstGeom prst="rect">
                      <a:avLst/>
                    </a:prstGeom>
                  </pic:spPr>
                </pic:pic>
              </a:graphicData>
            </a:graphic>
          </wp:anchor>
        </w:drawing>
      </w:r>
      <w:r>
        <w:rPr>
          <w:rFonts w:hint="eastAsia" w:ascii="宋体" w:hAnsi="宋体" w:eastAsia="宋体" w:cs="宋体"/>
          <w:b/>
          <w:sz w:val="30"/>
          <w:szCs w:val="30"/>
        </w:rPr>
        <w:t>版本</w:t>
      </w:r>
      <w:r>
        <w:rPr>
          <w:rFonts w:hint="eastAsia" w:ascii="宋体" w:hAnsi="宋体" w:eastAsia="宋体" w:cs="宋体"/>
          <w:b/>
          <w:sz w:val="30"/>
          <w:szCs w:val="30"/>
          <w:lang w:val="en-US" w:eastAsia="zh-CN"/>
        </w:rPr>
        <w:t>/修订</w:t>
      </w:r>
      <w:r>
        <w:rPr>
          <w:rFonts w:hint="eastAsia" w:ascii="宋体" w:hAnsi="宋体" w:eastAsia="宋体" w:cs="宋体"/>
          <w:b/>
          <w:sz w:val="30"/>
          <w:szCs w:val="30"/>
        </w:rPr>
        <w:t>：</w:t>
      </w:r>
      <w:r>
        <w:rPr>
          <w:rFonts w:hint="eastAsia" w:ascii="宋体" w:hAnsi="宋体" w:eastAsia="宋体" w:cs="宋体"/>
          <w:b/>
          <w:sz w:val="30"/>
          <w:szCs w:val="30"/>
          <w:lang w:val="en-US" w:eastAsia="zh-CN"/>
        </w:rPr>
        <w:t>A/0</w:t>
      </w:r>
    </w:p>
    <w:p w14:paraId="5827C71C">
      <w:pPr>
        <w:spacing w:line="480" w:lineRule="auto"/>
        <w:ind w:right="-29" w:rightChars="-14" w:firstLine="3614" w:firstLineChars="1200"/>
        <w:rPr>
          <w:rFonts w:hint="eastAsia" w:ascii="宋体" w:hAnsi="宋体" w:eastAsia="宋体" w:cs="宋体"/>
          <w:b/>
          <w:sz w:val="30"/>
          <w:szCs w:val="30"/>
          <w:lang w:val="en-US" w:eastAsia="zh-CN"/>
        </w:rPr>
      </w:pPr>
      <w:r>
        <w:rPr>
          <w:rFonts w:hint="eastAsia" w:ascii="宋体" w:hAnsi="宋体" w:eastAsia="宋体" w:cs="宋体"/>
          <w:b/>
          <w:sz w:val="30"/>
          <w:szCs w:val="30"/>
          <w:lang w:val="en-US" w:eastAsia="zh-CN"/>
        </w:rPr>
        <w:drawing>
          <wp:anchor distT="0" distB="0" distL="114300" distR="114300" simplePos="0" relativeHeight="251665408" behindDoc="0" locked="0" layoutInCell="1" allowOverlap="1">
            <wp:simplePos x="0" y="0"/>
            <wp:positionH relativeFrom="column">
              <wp:posOffset>3347085</wp:posOffset>
            </wp:positionH>
            <wp:positionV relativeFrom="paragraph">
              <wp:posOffset>389255</wp:posOffset>
            </wp:positionV>
            <wp:extent cx="1104900" cy="443865"/>
            <wp:effectExtent l="0" t="0" r="0" b="13335"/>
            <wp:wrapNone/>
            <wp:docPr id="37" name="图片 37" descr="胥龙海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胥龙海签名"/>
                    <pic:cNvPicPr>
                      <a:picLocks noChangeAspect="1"/>
                    </pic:cNvPicPr>
                  </pic:nvPicPr>
                  <pic:blipFill>
                    <a:blip r:embed="rId15"/>
                    <a:srcRect t="29307" b="30503"/>
                    <a:stretch>
                      <a:fillRect/>
                    </a:stretch>
                  </pic:blipFill>
                  <pic:spPr>
                    <a:xfrm>
                      <a:off x="0" y="0"/>
                      <a:ext cx="1104900" cy="443865"/>
                    </a:xfrm>
                    <a:prstGeom prst="rect">
                      <a:avLst/>
                    </a:prstGeom>
                  </pic:spPr>
                </pic:pic>
              </a:graphicData>
            </a:graphic>
          </wp:anchor>
        </w:drawing>
      </w:r>
      <w:r>
        <w:rPr>
          <w:rFonts w:hint="eastAsia" w:ascii="宋体" w:hAnsi="宋体" w:cs="宋体"/>
          <w:b/>
          <w:sz w:val="30"/>
          <w:szCs w:val="30"/>
          <w:lang w:val="en-US" w:eastAsia="zh-CN"/>
        </w:rPr>
        <w:t>编     制</w:t>
      </w:r>
      <w:r>
        <w:rPr>
          <w:rFonts w:hint="eastAsia" w:ascii="宋体" w:hAnsi="宋体" w:eastAsia="宋体" w:cs="宋体"/>
          <w:b/>
          <w:sz w:val="30"/>
          <w:szCs w:val="30"/>
        </w:rPr>
        <w:t>：</w:t>
      </w:r>
    </w:p>
    <w:p w14:paraId="7348D6DA">
      <w:pPr>
        <w:spacing w:line="480" w:lineRule="auto"/>
        <w:ind w:right="-29" w:rightChars="-14" w:firstLine="3614" w:firstLineChars="1200"/>
        <w:rPr>
          <w:rFonts w:hint="eastAsia" w:ascii="宋体" w:hAnsi="宋体" w:eastAsia="宋体" w:cs="宋体"/>
          <w:b/>
          <w:sz w:val="30"/>
          <w:szCs w:val="30"/>
          <w:lang w:val="en-US" w:eastAsia="zh-CN"/>
        </w:rPr>
      </w:pPr>
      <w:r>
        <w:rPr>
          <w:rFonts w:hint="eastAsia" w:ascii="宋体" w:hAnsi="宋体" w:eastAsia="宋体" w:cs="宋体"/>
          <w:b/>
          <w:sz w:val="30"/>
          <w:szCs w:val="30"/>
          <w:lang w:val="en-US" w:eastAsia="zh-CN"/>
        </w:rPr>
        <w:drawing>
          <wp:anchor distT="0" distB="0" distL="114300" distR="114300" simplePos="0" relativeHeight="251666432" behindDoc="0" locked="0" layoutInCell="1" allowOverlap="1">
            <wp:simplePos x="0" y="0"/>
            <wp:positionH relativeFrom="column">
              <wp:posOffset>3356610</wp:posOffset>
            </wp:positionH>
            <wp:positionV relativeFrom="paragraph">
              <wp:posOffset>390525</wp:posOffset>
            </wp:positionV>
            <wp:extent cx="1104900" cy="443865"/>
            <wp:effectExtent l="0" t="0" r="0" b="13335"/>
            <wp:wrapNone/>
            <wp:docPr id="38" name="图片 38" descr="胥龙海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胥龙海签名"/>
                    <pic:cNvPicPr>
                      <a:picLocks noChangeAspect="1"/>
                    </pic:cNvPicPr>
                  </pic:nvPicPr>
                  <pic:blipFill>
                    <a:blip r:embed="rId15"/>
                    <a:srcRect t="29307" b="30503"/>
                    <a:stretch>
                      <a:fillRect/>
                    </a:stretch>
                  </pic:blipFill>
                  <pic:spPr>
                    <a:xfrm>
                      <a:off x="0" y="0"/>
                      <a:ext cx="1104900" cy="443865"/>
                    </a:xfrm>
                    <a:prstGeom prst="rect">
                      <a:avLst/>
                    </a:prstGeom>
                  </pic:spPr>
                </pic:pic>
              </a:graphicData>
            </a:graphic>
          </wp:anchor>
        </w:drawing>
      </w:r>
      <w:r>
        <w:rPr>
          <w:rFonts w:hint="eastAsia" w:ascii="宋体" w:hAnsi="宋体" w:eastAsia="宋体" w:cs="宋体"/>
          <w:b/>
          <w:sz w:val="30"/>
          <w:szCs w:val="30"/>
        </w:rPr>
        <w:t xml:space="preserve">审    </w:t>
      </w:r>
      <w:r>
        <w:rPr>
          <w:rFonts w:hint="eastAsia" w:ascii="宋体" w:hAnsi="宋体" w:cs="宋体"/>
          <w:b/>
          <w:sz w:val="30"/>
          <w:szCs w:val="30"/>
          <w:lang w:val="en-US" w:eastAsia="zh-CN"/>
        </w:rPr>
        <w:t xml:space="preserve"> </w:t>
      </w:r>
      <w:r>
        <w:rPr>
          <w:rFonts w:hint="eastAsia" w:ascii="宋体" w:hAnsi="宋体" w:eastAsia="宋体" w:cs="宋体"/>
          <w:b/>
          <w:sz w:val="30"/>
          <w:szCs w:val="30"/>
        </w:rPr>
        <w:t>核：</w:t>
      </w:r>
    </w:p>
    <w:p w14:paraId="525D9243">
      <w:pPr>
        <w:spacing w:line="480" w:lineRule="auto"/>
        <w:ind w:right="-29" w:rightChars="-14" w:firstLine="3614" w:firstLineChars="1200"/>
        <w:rPr>
          <w:rFonts w:hint="eastAsia" w:ascii="宋体" w:hAnsi="宋体" w:eastAsia="宋体" w:cs="宋体"/>
          <w:b/>
          <w:sz w:val="30"/>
          <w:szCs w:val="30"/>
          <w:lang w:val="en-US" w:eastAsia="zh-CN"/>
        </w:rPr>
      </w:pPr>
      <w:r>
        <w:rPr>
          <w:rFonts w:hint="eastAsia" w:ascii="宋体" w:hAnsi="宋体" w:eastAsia="宋体" w:cs="宋体"/>
          <w:b/>
          <w:sz w:val="30"/>
          <w:szCs w:val="30"/>
        </w:rPr>
        <w:t xml:space="preserve">批   </w:t>
      </w:r>
      <w:r>
        <w:rPr>
          <w:rFonts w:hint="eastAsia" w:ascii="宋体" w:hAnsi="宋体" w:cs="宋体"/>
          <w:b/>
          <w:sz w:val="30"/>
          <w:szCs w:val="30"/>
          <w:lang w:val="en-US" w:eastAsia="zh-CN"/>
        </w:rPr>
        <w:t xml:space="preserve"> </w:t>
      </w:r>
      <w:r>
        <w:rPr>
          <w:rFonts w:hint="eastAsia" w:ascii="宋体" w:hAnsi="宋体" w:eastAsia="宋体" w:cs="宋体"/>
          <w:b/>
          <w:sz w:val="30"/>
          <w:szCs w:val="30"/>
        </w:rPr>
        <w:t xml:space="preserve"> 准：</w:t>
      </w:r>
    </w:p>
    <w:p w14:paraId="456597BC">
      <w:pPr>
        <w:spacing w:line="480" w:lineRule="auto"/>
        <w:ind w:right="-29" w:rightChars="-14"/>
        <w:rPr>
          <w:rFonts w:hint="eastAsia" w:ascii="宋体" w:hAnsi="宋体" w:eastAsia="宋体" w:cs="宋体"/>
          <w:b/>
          <w:sz w:val="30"/>
          <w:szCs w:val="30"/>
          <w:lang w:val="en-US" w:eastAsia="zh-CN"/>
        </w:rPr>
      </w:pPr>
    </w:p>
    <w:p w14:paraId="1821511A">
      <w:pPr>
        <w:jc w:val="center"/>
        <w:rPr>
          <w:rFonts w:hint="eastAsia" w:eastAsia="黑体"/>
          <w:sz w:val="44"/>
          <w:szCs w:val="44"/>
          <w:lang w:eastAsia="zh-CN"/>
        </w:rPr>
      </w:pPr>
      <w:r>
        <w:rPr>
          <w:rFonts w:hint="eastAsia" w:ascii="宋体" w:hAnsi="宋体"/>
          <w:sz w:val="28"/>
          <w:lang w:val="en-US" w:eastAsia="zh-CN"/>
        </w:rPr>
        <w:t xml:space="preserve">   </w:t>
      </w:r>
      <w:r>
        <w:rPr>
          <w:rFonts w:ascii="宋体" w:hAnsi="宋体"/>
          <w:sz w:val="28"/>
        </w:rPr>
        <w:t>20</w:t>
      </w:r>
      <w:r>
        <w:rPr>
          <w:rFonts w:hint="eastAsia" w:ascii="宋体" w:hAnsi="宋体"/>
          <w:sz w:val="28"/>
          <w:lang w:val="en-US" w:eastAsia="zh-CN"/>
        </w:rPr>
        <w:t>24</w:t>
      </w:r>
      <w:r>
        <w:rPr>
          <w:rFonts w:ascii="宋体" w:hAnsi="宋体"/>
          <w:sz w:val="28"/>
        </w:rPr>
        <w:t>年</w:t>
      </w:r>
      <w:r>
        <w:rPr>
          <w:rFonts w:hint="eastAsia" w:ascii="宋体" w:hAnsi="宋体" w:eastAsia="宋体"/>
          <w:sz w:val="28"/>
          <w:lang w:val="en-US" w:eastAsia="zh-CN"/>
        </w:rPr>
        <w:t>10</w:t>
      </w:r>
      <w:r>
        <w:rPr>
          <w:rFonts w:ascii="宋体" w:hAnsi="宋体"/>
          <w:sz w:val="28"/>
        </w:rPr>
        <w:t>月</w:t>
      </w:r>
      <w:r>
        <w:rPr>
          <w:rFonts w:hint="eastAsia" w:ascii="宋体" w:hAnsi="宋体" w:eastAsia="宋体"/>
          <w:sz w:val="28"/>
          <w:lang w:val="en-US" w:eastAsia="zh-CN"/>
        </w:rPr>
        <w:t>20</w:t>
      </w:r>
      <w:r>
        <w:rPr>
          <w:rFonts w:ascii="宋体" w:hAnsi="宋体"/>
          <w:sz w:val="28"/>
        </w:rPr>
        <w:t>日发布</w:t>
      </w:r>
      <w:r>
        <w:rPr>
          <w:rFonts w:ascii="宋体" w:hAnsi="宋体"/>
          <w:sz w:val="28"/>
        </w:rPr>
        <w:tab/>
      </w:r>
      <w:r>
        <w:rPr>
          <w:rFonts w:ascii="宋体" w:hAnsi="宋体"/>
          <w:sz w:val="28"/>
        </w:rPr>
        <w:tab/>
      </w:r>
      <w:r>
        <w:rPr>
          <w:rFonts w:ascii="宋体" w:hAnsi="宋体"/>
          <w:sz w:val="28"/>
        </w:rPr>
        <w:tab/>
      </w:r>
      <w:r>
        <w:rPr>
          <w:rFonts w:hint="eastAsia" w:ascii="宋体" w:hAnsi="宋体"/>
          <w:sz w:val="28"/>
          <w:lang w:val="en-US" w:eastAsia="zh-CN"/>
        </w:rPr>
        <w:t xml:space="preserve">    </w:t>
      </w:r>
      <w:r>
        <w:rPr>
          <w:rFonts w:ascii="宋体" w:hAnsi="宋体"/>
          <w:sz w:val="28"/>
        </w:rPr>
        <w:tab/>
      </w:r>
      <w:r>
        <w:rPr>
          <w:rFonts w:ascii="宋体" w:hAnsi="宋体"/>
          <w:sz w:val="28"/>
        </w:rPr>
        <w:tab/>
      </w:r>
      <w:r>
        <w:rPr>
          <w:rFonts w:ascii="宋体" w:hAnsi="宋体"/>
          <w:sz w:val="28"/>
        </w:rPr>
        <w:tab/>
      </w:r>
      <w:r>
        <w:rPr>
          <w:rFonts w:ascii="宋体" w:hAnsi="宋体"/>
          <w:sz w:val="28"/>
        </w:rPr>
        <w:t xml:space="preserve"> 20</w:t>
      </w:r>
      <w:r>
        <w:rPr>
          <w:rFonts w:hint="eastAsia" w:ascii="宋体" w:hAnsi="宋体"/>
          <w:sz w:val="28"/>
          <w:lang w:val="en-US" w:eastAsia="zh-CN"/>
        </w:rPr>
        <w:t>24</w:t>
      </w:r>
      <w:r>
        <w:rPr>
          <w:rFonts w:ascii="宋体" w:hAnsi="宋体"/>
          <w:sz w:val="28"/>
        </w:rPr>
        <w:t>年</w:t>
      </w:r>
      <w:r>
        <w:rPr>
          <w:rFonts w:hint="eastAsia" w:ascii="宋体" w:hAnsi="宋体" w:eastAsia="宋体"/>
          <w:sz w:val="28"/>
          <w:lang w:val="en-US" w:eastAsia="zh-CN"/>
        </w:rPr>
        <w:t>10</w:t>
      </w:r>
      <w:r>
        <w:rPr>
          <w:rFonts w:ascii="宋体" w:hAnsi="宋体"/>
          <w:sz w:val="28"/>
        </w:rPr>
        <w:t>月</w:t>
      </w:r>
      <w:r>
        <w:rPr>
          <w:rFonts w:hint="eastAsia" w:ascii="宋体" w:hAnsi="宋体" w:eastAsia="宋体"/>
          <w:sz w:val="28"/>
          <w:lang w:val="en-US" w:eastAsia="zh-CN"/>
        </w:rPr>
        <w:t>20</w:t>
      </w:r>
      <w:r>
        <w:rPr>
          <w:rFonts w:ascii="宋体" w:hAnsi="宋体"/>
          <w:sz w:val="28"/>
        </w:rPr>
        <w:t>日实施</w:t>
      </w:r>
    </w:p>
    <w:p w14:paraId="7C3F7EDD">
      <w:pPr>
        <w:tabs>
          <w:tab w:val="left" w:pos="1780"/>
          <w:tab w:val="center" w:pos="5607"/>
        </w:tabs>
        <w:spacing w:line="360" w:lineRule="auto"/>
        <w:ind w:right="-588" w:rightChars="-280"/>
        <w:jc w:val="center"/>
        <w:rPr>
          <w:rFonts w:hint="eastAsia" w:eastAsia="黑体"/>
          <w:sz w:val="44"/>
          <w:szCs w:val="44"/>
          <w:lang w:eastAsia="zh-CN"/>
        </w:rPr>
      </w:pPr>
      <w:r>
        <w:rPr>
          <w:sz w:val="36"/>
        </w:rPr>
        <mc:AlternateContent>
          <mc:Choice Requires="wps">
            <w:drawing>
              <wp:anchor distT="0" distB="0" distL="114300" distR="114300" simplePos="0" relativeHeight="251662336" behindDoc="0" locked="0" layoutInCell="1" allowOverlap="1">
                <wp:simplePos x="0" y="0"/>
                <wp:positionH relativeFrom="column">
                  <wp:posOffset>128270</wp:posOffset>
                </wp:positionH>
                <wp:positionV relativeFrom="paragraph">
                  <wp:posOffset>205740</wp:posOffset>
                </wp:positionV>
                <wp:extent cx="6200775" cy="9525"/>
                <wp:effectExtent l="0" t="13970" r="9525" b="14605"/>
                <wp:wrapNone/>
                <wp:docPr id="7" name="直接连接符 7"/>
                <wp:cNvGraphicFramePr/>
                <a:graphic xmlns:a="http://schemas.openxmlformats.org/drawingml/2006/main">
                  <a:graphicData uri="http://schemas.microsoft.com/office/word/2010/wordprocessingShape">
                    <wps:wsp>
                      <wps:cNvCnPr/>
                      <wps:spPr>
                        <a:xfrm>
                          <a:off x="737870" y="9229090"/>
                          <a:ext cx="6200775" cy="9525"/>
                        </a:xfrm>
                        <a:prstGeom prst="line">
                          <a:avLst/>
                        </a:prstGeom>
                        <a:ln w="28575"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1pt;margin-top:16.2pt;height:0.75pt;width:488.25pt;z-index:251662336;mso-width-relative:page;mso-height-relative:page;" filled="f" stroked="t" coordsize="21600,21600" o:gfxdata="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Cr4r9gA&#10;AAAIAQAADwAAAAAAAAABACAAAAAiAAAAZHJzL2Rvd25yZXYueG1sUEsBAhQAFAAAAAgAh07iQPP2&#10;RwfmAQAAqQMAAA4AAAAAAAAAAQAgAAAAJwEAAGRycy9lMm9Eb2MueG1sUEsFBgAAAAAGAAYAWQEA&#10;AH8FAAAAAA==&#10;">
                <v:fill on="f" focussize="0,0"/>
                <v:stroke weight="2.25pt" color="#000000 [3213]" joinstyle="round"/>
                <v:imagedata o:title=""/>
                <o:lock v:ext="edit" aspectratio="f"/>
              </v:line>
            </w:pict>
          </mc:Fallback>
        </mc:AlternateContent>
      </w:r>
      <w:r>
        <w:rPr>
          <w:rFonts w:ascii="宋体" w:hAnsi="宋体"/>
          <w:spacing w:val="30"/>
          <w:sz w:val="36"/>
        </w:rPr>
        <mc:AlternateContent>
          <mc:Choice Requires="wps">
            <w:drawing>
              <wp:anchor distT="0" distB="0" distL="114300" distR="114300" simplePos="0" relativeHeight="251661312" behindDoc="0" locked="0" layoutInCell="1" allowOverlap="1">
                <wp:simplePos x="0" y="0"/>
                <wp:positionH relativeFrom="column">
                  <wp:posOffset>-132080</wp:posOffset>
                </wp:positionH>
                <wp:positionV relativeFrom="paragraph">
                  <wp:posOffset>9251950</wp:posOffset>
                </wp:positionV>
                <wp:extent cx="7600950" cy="635"/>
                <wp:effectExtent l="0" t="28575" r="0" b="46990"/>
                <wp:wrapNone/>
                <wp:docPr id="9" name="直接连接符 9"/>
                <wp:cNvGraphicFramePr/>
                <a:graphic xmlns:a="http://schemas.openxmlformats.org/drawingml/2006/main">
                  <a:graphicData uri="http://schemas.microsoft.com/office/word/2010/wordprocessingShape">
                    <wps:wsp>
                      <wps:cNvCnPr/>
                      <wps:spPr>
                        <a:xfrm>
                          <a:off x="0" y="0"/>
                          <a:ext cx="7600950" cy="635"/>
                        </a:xfrm>
                        <a:prstGeom prst="line">
                          <a:avLst/>
                        </a:prstGeom>
                        <a:ln w="57150" cap="flat" cmpd="thinThick">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4pt;margin-top:728.5pt;height:0.05pt;width:598.5pt;z-index:251661312;mso-width-relative:page;mso-height-relative:page;" filled="f" stroked="t" coordsize="21600,21600" o:gfxdata="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gpOC/cAAAADgEAAA8AAAAAAAAAAQAgAAAAIgAAAGRycy9kb3du&#10;cmV2LnhtbFBLAQIUABQAAAAIAIdO4kDtkSN4+wEAAO0DAAAOAAAAAAAAAAEAIAAAACsBAABkcnMv&#10;ZTJvRG9jLnhtbFBLBQYAAAAABgAGAFkBAACYBQAAAAA=&#10;">
                <v:fill on="f" focussize="0,0"/>
                <v:stroke weight="4.5pt" color="#000000" linestyle="thinThick" joinstyle="round"/>
                <v:imagedata o:title=""/>
                <o:lock v:ext="edit" aspectratio="f"/>
              </v:line>
            </w:pict>
          </mc:Fallback>
        </mc:AlternateContent>
      </w:r>
      <w:r>
        <w:rPr>
          <w:rFonts w:ascii="宋体" w:hAnsi="宋体"/>
          <w:spacing w:val="30"/>
          <w:sz w:val="36"/>
        </w:rPr>
        <mc:AlternateContent>
          <mc:Choice Requires="wps">
            <w:drawing>
              <wp:anchor distT="0" distB="0" distL="114300" distR="114300" simplePos="0" relativeHeight="251660288" behindDoc="0" locked="0" layoutInCell="1" allowOverlap="1">
                <wp:simplePos x="0" y="0"/>
                <wp:positionH relativeFrom="column">
                  <wp:posOffset>-284480</wp:posOffset>
                </wp:positionH>
                <wp:positionV relativeFrom="paragraph">
                  <wp:posOffset>9099550</wp:posOffset>
                </wp:positionV>
                <wp:extent cx="7600950" cy="635"/>
                <wp:effectExtent l="0" t="28575" r="0" b="46990"/>
                <wp:wrapNone/>
                <wp:docPr id="11" name="直接连接符 11"/>
                <wp:cNvGraphicFramePr/>
                <a:graphic xmlns:a="http://schemas.openxmlformats.org/drawingml/2006/main">
                  <a:graphicData uri="http://schemas.microsoft.com/office/word/2010/wordprocessingShape">
                    <wps:wsp>
                      <wps:cNvCnPr/>
                      <wps:spPr>
                        <a:xfrm>
                          <a:off x="0" y="0"/>
                          <a:ext cx="7600950" cy="635"/>
                        </a:xfrm>
                        <a:prstGeom prst="line">
                          <a:avLst/>
                        </a:prstGeom>
                        <a:ln w="57150" cap="flat" cmpd="thinThick">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2.4pt;margin-top:716.5pt;height:0.05pt;width:598.5pt;z-index:251660288;mso-width-relative:page;mso-height-relative:page;" filled="f" stroked="t" coordsize="21600,21600" o:gfxdata="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f6FGtwAAAAOAQAADwAAAAAAAAABACAAAAAiAAAAZHJzL2Rvd25y&#10;ZXYueG1sUEsBAhQAFAAAAAgAh07iQOfvAFL6AQAA7wMAAA4AAAAAAAAAAQAgAAAAKwEAAGRycy9l&#10;Mm9Eb2MueG1sUEsFBgAAAAAGAAYAWQEAAJcFAAAAAA==&#10;">
                <v:fill on="f" focussize="0,0"/>
                <v:stroke weight="4.5pt" color="#000000" linestyle="thinThick" joinstyle="round"/>
                <v:imagedata o:title=""/>
                <o:lock v:ext="edit" aspectratio="f"/>
              </v:line>
            </w:pict>
          </mc:Fallback>
        </mc:AlternateContent>
      </w:r>
    </w:p>
    <w:p w14:paraId="2261B5CE">
      <w:pPr>
        <w:tabs>
          <w:tab w:val="left" w:pos="1780"/>
          <w:tab w:val="center" w:pos="5607"/>
        </w:tabs>
        <w:spacing w:line="360" w:lineRule="auto"/>
        <w:ind w:right="-588" w:rightChars="-280"/>
        <w:jc w:val="center"/>
        <w:rPr>
          <w:rFonts w:hint="eastAsia" w:eastAsia="黑体"/>
          <w:sz w:val="36"/>
          <w:szCs w:val="36"/>
          <w:lang w:eastAsia="zh-CN"/>
        </w:rPr>
      </w:pPr>
      <w:r>
        <w:rPr>
          <w:rFonts w:hint="eastAsia" w:eastAsia="黑体"/>
          <w:sz w:val="36"/>
          <w:szCs w:val="36"/>
          <w:lang w:eastAsia="zh-CN"/>
        </w:rPr>
        <w:t>中博检验认证技术服务（江苏）有限公司</w:t>
      </w:r>
    </w:p>
    <w:p w14:paraId="089375F5">
      <w:pPr>
        <w:spacing w:before="262" w:line="220" w:lineRule="auto"/>
        <w:ind w:left="26"/>
        <w:jc w:val="center"/>
        <w:outlineLvl w:val="0"/>
        <w:rPr>
          <w:rFonts w:hint="eastAsia" w:ascii="宋体" w:hAnsi="宋体" w:eastAsia="宋体" w:cs="宋体"/>
          <w:spacing w:val="-3"/>
          <w:sz w:val="24"/>
          <w:szCs w:val="24"/>
          <w:lang w:eastAsia="zh-CN"/>
        </w:rPr>
        <w:sectPr>
          <w:headerReference r:id="rId5" w:type="first"/>
          <w:headerReference r:id="rId3" w:type="default"/>
          <w:footerReference r:id="rId6" w:type="default"/>
          <w:headerReference r:id="rId4" w:type="even"/>
          <w:footerReference r:id="rId7" w:type="even"/>
          <w:pgSz w:w="11900" w:h="16820"/>
          <w:pgMar w:top="850" w:right="850" w:bottom="850" w:left="850" w:header="567" w:footer="397" w:gutter="0"/>
          <w:pgNumType w:fmt="decimal"/>
          <w:cols w:space="720" w:num="1"/>
          <w:titlePg/>
          <w:docGrid w:linePitch="286" w:charSpace="0"/>
        </w:sectPr>
      </w:pPr>
    </w:p>
    <w:p w14:paraId="337273DF">
      <w:pPr>
        <w:snapToGrid w:val="0"/>
        <w:jc w:val="center"/>
        <w:rPr>
          <w:rFonts w:hint="eastAsia"/>
          <w:b/>
          <w:bCs/>
          <w:color w:val="auto"/>
          <w:sz w:val="32"/>
          <w:szCs w:val="32"/>
          <w:lang w:val="en-US" w:eastAsia="zh-CN"/>
        </w:rPr>
      </w:pPr>
    </w:p>
    <w:p w14:paraId="58930495">
      <w:pPr>
        <w:snapToGrid w:val="0"/>
        <w:jc w:val="center"/>
        <w:rPr>
          <w:rFonts w:ascii="宋体" w:hAnsi="宋体"/>
          <w:b/>
          <w:bCs/>
          <w:sz w:val="32"/>
          <w:szCs w:val="32"/>
        </w:rPr>
      </w:pPr>
      <w:r>
        <w:rPr>
          <w:rFonts w:hint="eastAsia"/>
          <w:b/>
          <w:bCs/>
          <w:color w:val="auto"/>
          <w:sz w:val="32"/>
          <w:szCs w:val="32"/>
          <w:lang w:val="en-US" w:eastAsia="zh-CN"/>
        </w:rPr>
        <w:t>修  订 履 历</w:t>
      </w:r>
    </w:p>
    <w:tbl>
      <w:tblPr>
        <w:tblStyle w:val="9"/>
        <w:tblW w:w="9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457"/>
        <w:gridCol w:w="1690"/>
        <w:gridCol w:w="1885"/>
        <w:gridCol w:w="1485"/>
      </w:tblGrid>
      <w:tr w14:paraId="2CDF8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260" w:type="dxa"/>
            <w:vAlign w:val="center"/>
          </w:tcPr>
          <w:p w14:paraId="69B26E03">
            <w:pPr>
              <w:jc w:val="center"/>
              <w:rPr>
                <w:b/>
                <w:bCs/>
                <w:sz w:val="24"/>
                <w:szCs w:val="24"/>
              </w:rPr>
            </w:pPr>
            <w:r>
              <w:rPr>
                <w:rFonts w:hint="eastAsia"/>
                <w:b/>
                <w:bCs/>
                <w:sz w:val="24"/>
                <w:szCs w:val="24"/>
              </w:rPr>
              <w:t>版本</w:t>
            </w:r>
          </w:p>
        </w:tc>
        <w:tc>
          <w:tcPr>
            <w:tcW w:w="3457" w:type="dxa"/>
            <w:vAlign w:val="center"/>
          </w:tcPr>
          <w:p w14:paraId="21B1DFEA">
            <w:pPr>
              <w:jc w:val="center"/>
              <w:rPr>
                <w:b/>
                <w:bCs/>
                <w:sz w:val="24"/>
                <w:szCs w:val="24"/>
              </w:rPr>
            </w:pPr>
            <w:r>
              <w:rPr>
                <w:rFonts w:hint="eastAsia"/>
                <w:b/>
                <w:bCs/>
                <w:sz w:val="24"/>
                <w:szCs w:val="24"/>
              </w:rPr>
              <w:t>修改内容</w:t>
            </w:r>
          </w:p>
        </w:tc>
        <w:tc>
          <w:tcPr>
            <w:tcW w:w="1690" w:type="dxa"/>
            <w:vAlign w:val="center"/>
          </w:tcPr>
          <w:p w14:paraId="0A250090">
            <w:pPr>
              <w:jc w:val="center"/>
              <w:rPr>
                <w:b/>
                <w:bCs/>
                <w:sz w:val="24"/>
                <w:szCs w:val="24"/>
              </w:rPr>
            </w:pPr>
            <w:r>
              <w:rPr>
                <w:rFonts w:hint="eastAsia"/>
                <w:b/>
                <w:bCs/>
                <w:sz w:val="24"/>
                <w:szCs w:val="24"/>
              </w:rPr>
              <w:t>修改日期</w:t>
            </w:r>
          </w:p>
        </w:tc>
        <w:tc>
          <w:tcPr>
            <w:tcW w:w="1885" w:type="dxa"/>
            <w:vAlign w:val="center"/>
          </w:tcPr>
          <w:p w14:paraId="70F73243">
            <w:pPr>
              <w:jc w:val="center"/>
              <w:rPr>
                <w:rFonts w:hint="default" w:eastAsia="宋体"/>
                <w:b/>
                <w:bCs/>
                <w:sz w:val="24"/>
                <w:szCs w:val="24"/>
                <w:lang w:val="en-US" w:eastAsia="zh-CN"/>
              </w:rPr>
            </w:pPr>
            <w:r>
              <w:rPr>
                <w:rFonts w:hint="eastAsia"/>
                <w:b/>
                <w:bCs/>
                <w:sz w:val="24"/>
                <w:szCs w:val="24"/>
                <w:lang w:val="en-US" w:eastAsia="zh-CN"/>
              </w:rPr>
              <w:t>修订人</w:t>
            </w:r>
          </w:p>
        </w:tc>
        <w:tc>
          <w:tcPr>
            <w:tcW w:w="1485" w:type="dxa"/>
            <w:vAlign w:val="center"/>
          </w:tcPr>
          <w:p w14:paraId="78EF55D3">
            <w:pPr>
              <w:jc w:val="center"/>
              <w:rPr>
                <w:b/>
                <w:bCs/>
                <w:sz w:val="24"/>
                <w:szCs w:val="24"/>
              </w:rPr>
            </w:pPr>
            <w:r>
              <w:rPr>
                <w:rFonts w:hint="eastAsia"/>
                <w:b/>
                <w:bCs/>
                <w:sz w:val="24"/>
                <w:szCs w:val="24"/>
              </w:rPr>
              <w:t>备注</w:t>
            </w:r>
          </w:p>
        </w:tc>
      </w:tr>
      <w:tr w14:paraId="3701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49AA9E15">
            <w:pPr>
              <w:jc w:val="center"/>
              <w:rPr>
                <w:sz w:val="24"/>
                <w:szCs w:val="24"/>
              </w:rPr>
            </w:pPr>
            <w:r>
              <w:rPr>
                <w:rFonts w:hint="eastAsia"/>
                <w:sz w:val="24"/>
                <w:szCs w:val="24"/>
              </w:rPr>
              <w:t>A/0</w:t>
            </w:r>
          </w:p>
        </w:tc>
        <w:tc>
          <w:tcPr>
            <w:tcW w:w="3457" w:type="dxa"/>
            <w:vAlign w:val="center"/>
          </w:tcPr>
          <w:p w14:paraId="1D18EA95">
            <w:pPr>
              <w:rPr>
                <w:rFonts w:hint="default" w:eastAsia="宋体"/>
                <w:sz w:val="24"/>
                <w:szCs w:val="24"/>
                <w:lang w:val="en-US" w:eastAsia="zh-CN"/>
              </w:rPr>
            </w:pPr>
            <w:r>
              <w:rPr>
                <w:rFonts w:hint="eastAsia"/>
                <w:sz w:val="24"/>
                <w:szCs w:val="24"/>
                <w:lang w:val="en-US" w:eastAsia="zh-CN"/>
              </w:rPr>
              <w:t>新建认证规则</w:t>
            </w:r>
          </w:p>
        </w:tc>
        <w:tc>
          <w:tcPr>
            <w:tcW w:w="1690" w:type="dxa"/>
            <w:vAlign w:val="center"/>
          </w:tcPr>
          <w:p w14:paraId="1F807E2D">
            <w:pPr>
              <w:jc w:val="center"/>
              <w:rPr>
                <w:rFonts w:hint="default" w:eastAsia="宋体"/>
                <w:sz w:val="24"/>
                <w:szCs w:val="24"/>
                <w:lang w:val="en-US" w:eastAsia="zh-CN"/>
              </w:rPr>
            </w:pPr>
            <w:r>
              <w:rPr>
                <w:rFonts w:hint="eastAsia"/>
                <w:sz w:val="24"/>
                <w:szCs w:val="24"/>
              </w:rPr>
              <w:t>20</w:t>
            </w:r>
            <w:r>
              <w:rPr>
                <w:rFonts w:hint="eastAsia"/>
                <w:sz w:val="24"/>
                <w:szCs w:val="24"/>
                <w:lang w:val="en-US" w:eastAsia="zh-CN"/>
              </w:rPr>
              <w:t>24</w:t>
            </w:r>
            <w:r>
              <w:rPr>
                <w:rFonts w:hint="eastAsia"/>
                <w:sz w:val="24"/>
                <w:szCs w:val="24"/>
              </w:rPr>
              <w:t>/</w:t>
            </w:r>
            <w:r>
              <w:rPr>
                <w:rFonts w:hint="eastAsia" w:eastAsia="宋体"/>
                <w:sz w:val="24"/>
                <w:szCs w:val="24"/>
                <w:lang w:val="en-US" w:eastAsia="zh-CN"/>
              </w:rPr>
              <w:t>10</w:t>
            </w:r>
            <w:r>
              <w:rPr>
                <w:rFonts w:hint="eastAsia"/>
                <w:sz w:val="24"/>
                <w:szCs w:val="24"/>
              </w:rPr>
              <w:t>/</w:t>
            </w:r>
            <w:r>
              <w:rPr>
                <w:rFonts w:hint="eastAsia" w:eastAsia="宋体"/>
                <w:sz w:val="24"/>
                <w:szCs w:val="24"/>
                <w:lang w:val="en-US" w:eastAsia="zh-CN"/>
              </w:rPr>
              <w:t>20</w:t>
            </w:r>
          </w:p>
        </w:tc>
        <w:tc>
          <w:tcPr>
            <w:tcW w:w="1885" w:type="dxa"/>
            <w:vAlign w:val="center"/>
          </w:tcPr>
          <w:p w14:paraId="039EA44C">
            <w:pPr>
              <w:jc w:val="center"/>
              <w:rPr>
                <w:rFonts w:hint="default" w:eastAsia="宋体"/>
                <w:sz w:val="24"/>
                <w:szCs w:val="24"/>
                <w:lang w:val="en-US" w:eastAsia="zh-CN"/>
              </w:rPr>
            </w:pPr>
            <w:r>
              <w:rPr>
                <w:rFonts w:hint="eastAsia" w:eastAsia="宋体"/>
                <w:sz w:val="24"/>
                <w:szCs w:val="24"/>
                <w:lang w:val="en-US" w:eastAsia="zh-CN"/>
              </w:rPr>
              <w:t>吕天辉</w:t>
            </w:r>
          </w:p>
        </w:tc>
        <w:tc>
          <w:tcPr>
            <w:tcW w:w="1485" w:type="dxa"/>
            <w:vAlign w:val="center"/>
          </w:tcPr>
          <w:p w14:paraId="16FF3E4A">
            <w:pPr>
              <w:jc w:val="center"/>
              <w:rPr>
                <w:sz w:val="24"/>
                <w:szCs w:val="24"/>
              </w:rPr>
            </w:pPr>
          </w:p>
        </w:tc>
      </w:tr>
      <w:tr w14:paraId="77F0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659B7A64">
            <w:pPr>
              <w:jc w:val="center"/>
              <w:rPr>
                <w:rFonts w:hint="default" w:eastAsia="宋体"/>
                <w:sz w:val="24"/>
                <w:szCs w:val="24"/>
                <w:lang w:val="en-US" w:eastAsia="zh-CN"/>
              </w:rPr>
            </w:pPr>
          </w:p>
        </w:tc>
        <w:tc>
          <w:tcPr>
            <w:tcW w:w="3457" w:type="dxa"/>
            <w:vAlign w:val="center"/>
          </w:tcPr>
          <w:p w14:paraId="35E4181C">
            <w:pPr>
              <w:rPr>
                <w:rFonts w:hint="default" w:eastAsia="宋体"/>
                <w:sz w:val="24"/>
                <w:szCs w:val="24"/>
                <w:lang w:val="en-US" w:eastAsia="zh-CN"/>
              </w:rPr>
            </w:pPr>
          </w:p>
        </w:tc>
        <w:tc>
          <w:tcPr>
            <w:tcW w:w="1690" w:type="dxa"/>
            <w:vAlign w:val="center"/>
          </w:tcPr>
          <w:p w14:paraId="5FC3A775">
            <w:pPr>
              <w:jc w:val="center"/>
              <w:rPr>
                <w:rFonts w:hint="default" w:ascii="Arial" w:hAnsi="Arial" w:eastAsia="宋体" w:cs="Arial"/>
                <w:snapToGrid w:val="0"/>
                <w:color w:val="000000"/>
                <w:sz w:val="24"/>
                <w:szCs w:val="24"/>
                <w:lang w:val="en-US" w:eastAsia="zh-CN" w:bidi="ar-SA"/>
              </w:rPr>
            </w:pPr>
          </w:p>
        </w:tc>
        <w:tc>
          <w:tcPr>
            <w:tcW w:w="1885" w:type="dxa"/>
            <w:vAlign w:val="center"/>
          </w:tcPr>
          <w:p w14:paraId="535B8A08">
            <w:pPr>
              <w:jc w:val="center"/>
              <w:rPr>
                <w:rFonts w:hint="default" w:ascii="Arial" w:hAnsi="Arial" w:eastAsia="宋体" w:cs="Arial"/>
                <w:snapToGrid w:val="0"/>
                <w:color w:val="000000"/>
                <w:sz w:val="24"/>
                <w:szCs w:val="24"/>
                <w:lang w:val="en-US" w:eastAsia="zh-CN" w:bidi="ar-SA"/>
              </w:rPr>
            </w:pPr>
          </w:p>
        </w:tc>
        <w:tc>
          <w:tcPr>
            <w:tcW w:w="1485" w:type="dxa"/>
            <w:vAlign w:val="center"/>
          </w:tcPr>
          <w:p w14:paraId="1576D566">
            <w:pPr>
              <w:jc w:val="center"/>
              <w:rPr>
                <w:sz w:val="24"/>
                <w:szCs w:val="24"/>
              </w:rPr>
            </w:pPr>
          </w:p>
        </w:tc>
      </w:tr>
      <w:tr w14:paraId="501D6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0E94931E">
            <w:pPr>
              <w:jc w:val="center"/>
              <w:rPr>
                <w:sz w:val="24"/>
                <w:szCs w:val="24"/>
              </w:rPr>
            </w:pPr>
          </w:p>
        </w:tc>
        <w:tc>
          <w:tcPr>
            <w:tcW w:w="3457" w:type="dxa"/>
            <w:vAlign w:val="center"/>
          </w:tcPr>
          <w:p w14:paraId="49ACEDAA">
            <w:pPr>
              <w:rPr>
                <w:sz w:val="24"/>
                <w:szCs w:val="24"/>
              </w:rPr>
            </w:pPr>
          </w:p>
        </w:tc>
        <w:tc>
          <w:tcPr>
            <w:tcW w:w="1690" w:type="dxa"/>
            <w:vAlign w:val="center"/>
          </w:tcPr>
          <w:p w14:paraId="5EE24BA0">
            <w:pPr>
              <w:jc w:val="center"/>
              <w:rPr>
                <w:sz w:val="24"/>
                <w:szCs w:val="24"/>
              </w:rPr>
            </w:pPr>
          </w:p>
        </w:tc>
        <w:tc>
          <w:tcPr>
            <w:tcW w:w="1885" w:type="dxa"/>
            <w:vAlign w:val="center"/>
          </w:tcPr>
          <w:p w14:paraId="4833749B">
            <w:pPr>
              <w:jc w:val="center"/>
              <w:rPr>
                <w:sz w:val="24"/>
                <w:szCs w:val="24"/>
              </w:rPr>
            </w:pPr>
          </w:p>
        </w:tc>
        <w:tc>
          <w:tcPr>
            <w:tcW w:w="1485" w:type="dxa"/>
            <w:vAlign w:val="center"/>
          </w:tcPr>
          <w:p w14:paraId="2DFCF3F1">
            <w:pPr>
              <w:jc w:val="center"/>
              <w:rPr>
                <w:sz w:val="24"/>
                <w:szCs w:val="24"/>
              </w:rPr>
            </w:pPr>
          </w:p>
        </w:tc>
      </w:tr>
      <w:tr w14:paraId="071C2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260" w:type="dxa"/>
            <w:vAlign w:val="center"/>
          </w:tcPr>
          <w:p w14:paraId="66DC020D">
            <w:pPr>
              <w:jc w:val="center"/>
              <w:rPr>
                <w:sz w:val="24"/>
                <w:szCs w:val="24"/>
              </w:rPr>
            </w:pPr>
          </w:p>
        </w:tc>
        <w:tc>
          <w:tcPr>
            <w:tcW w:w="3457" w:type="dxa"/>
            <w:vAlign w:val="center"/>
          </w:tcPr>
          <w:p w14:paraId="1B69AB9A">
            <w:pPr>
              <w:rPr>
                <w:sz w:val="24"/>
                <w:szCs w:val="24"/>
              </w:rPr>
            </w:pPr>
          </w:p>
        </w:tc>
        <w:tc>
          <w:tcPr>
            <w:tcW w:w="1690" w:type="dxa"/>
            <w:vAlign w:val="center"/>
          </w:tcPr>
          <w:p w14:paraId="3F723CEB">
            <w:pPr>
              <w:jc w:val="center"/>
              <w:rPr>
                <w:sz w:val="24"/>
                <w:szCs w:val="24"/>
              </w:rPr>
            </w:pPr>
          </w:p>
        </w:tc>
        <w:tc>
          <w:tcPr>
            <w:tcW w:w="1885" w:type="dxa"/>
            <w:vAlign w:val="center"/>
          </w:tcPr>
          <w:p w14:paraId="404F09B9">
            <w:pPr>
              <w:jc w:val="center"/>
              <w:rPr>
                <w:sz w:val="24"/>
                <w:szCs w:val="24"/>
              </w:rPr>
            </w:pPr>
          </w:p>
        </w:tc>
        <w:tc>
          <w:tcPr>
            <w:tcW w:w="1485" w:type="dxa"/>
            <w:vAlign w:val="center"/>
          </w:tcPr>
          <w:p w14:paraId="206A7718">
            <w:pPr>
              <w:jc w:val="center"/>
              <w:rPr>
                <w:sz w:val="24"/>
                <w:szCs w:val="24"/>
              </w:rPr>
            </w:pPr>
          </w:p>
        </w:tc>
      </w:tr>
      <w:tr w14:paraId="32B99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52953F5D">
            <w:pPr>
              <w:jc w:val="center"/>
              <w:rPr>
                <w:sz w:val="24"/>
                <w:szCs w:val="24"/>
              </w:rPr>
            </w:pPr>
          </w:p>
        </w:tc>
        <w:tc>
          <w:tcPr>
            <w:tcW w:w="3457" w:type="dxa"/>
            <w:vAlign w:val="center"/>
          </w:tcPr>
          <w:p w14:paraId="472A93A6">
            <w:pPr>
              <w:rPr>
                <w:sz w:val="24"/>
                <w:szCs w:val="24"/>
              </w:rPr>
            </w:pPr>
          </w:p>
        </w:tc>
        <w:tc>
          <w:tcPr>
            <w:tcW w:w="1690" w:type="dxa"/>
            <w:vAlign w:val="center"/>
          </w:tcPr>
          <w:p w14:paraId="30C339C3">
            <w:pPr>
              <w:jc w:val="center"/>
              <w:rPr>
                <w:sz w:val="24"/>
                <w:szCs w:val="24"/>
              </w:rPr>
            </w:pPr>
          </w:p>
        </w:tc>
        <w:tc>
          <w:tcPr>
            <w:tcW w:w="1885" w:type="dxa"/>
            <w:vAlign w:val="center"/>
          </w:tcPr>
          <w:p w14:paraId="53AAB986">
            <w:pPr>
              <w:jc w:val="center"/>
              <w:rPr>
                <w:sz w:val="24"/>
                <w:szCs w:val="24"/>
              </w:rPr>
            </w:pPr>
          </w:p>
        </w:tc>
        <w:tc>
          <w:tcPr>
            <w:tcW w:w="1485" w:type="dxa"/>
            <w:vAlign w:val="center"/>
          </w:tcPr>
          <w:p w14:paraId="4C500C14">
            <w:pPr>
              <w:jc w:val="center"/>
              <w:rPr>
                <w:sz w:val="24"/>
                <w:szCs w:val="24"/>
              </w:rPr>
            </w:pPr>
          </w:p>
        </w:tc>
      </w:tr>
      <w:tr w14:paraId="23211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6A78B8CD">
            <w:pPr>
              <w:jc w:val="center"/>
              <w:rPr>
                <w:sz w:val="24"/>
                <w:szCs w:val="24"/>
              </w:rPr>
            </w:pPr>
          </w:p>
        </w:tc>
        <w:tc>
          <w:tcPr>
            <w:tcW w:w="3457" w:type="dxa"/>
            <w:vAlign w:val="center"/>
          </w:tcPr>
          <w:p w14:paraId="7A758196">
            <w:pPr>
              <w:rPr>
                <w:sz w:val="24"/>
                <w:szCs w:val="24"/>
              </w:rPr>
            </w:pPr>
          </w:p>
        </w:tc>
        <w:tc>
          <w:tcPr>
            <w:tcW w:w="1690" w:type="dxa"/>
            <w:vAlign w:val="center"/>
          </w:tcPr>
          <w:p w14:paraId="086AF633">
            <w:pPr>
              <w:jc w:val="center"/>
              <w:rPr>
                <w:sz w:val="24"/>
                <w:szCs w:val="24"/>
              </w:rPr>
            </w:pPr>
          </w:p>
        </w:tc>
        <w:tc>
          <w:tcPr>
            <w:tcW w:w="1885" w:type="dxa"/>
            <w:vAlign w:val="center"/>
          </w:tcPr>
          <w:p w14:paraId="3C24A2D6">
            <w:pPr>
              <w:jc w:val="center"/>
              <w:rPr>
                <w:sz w:val="24"/>
                <w:szCs w:val="24"/>
              </w:rPr>
            </w:pPr>
          </w:p>
        </w:tc>
        <w:tc>
          <w:tcPr>
            <w:tcW w:w="1485" w:type="dxa"/>
            <w:vAlign w:val="center"/>
          </w:tcPr>
          <w:p w14:paraId="44035D46">
            <w:pPr>
              <w:jc w:val="center"/>
              <w:rPr>
                <w:sz w:val="24"/>
                <w:szCs w:val="24"/>
              </w:rPr>
            </w:pPr>
          </w:p>
        </w:tc>
      </w:tr>
      <w:tr w14:paraId="484EA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6355F692">
            <w:pPr>
              <w:jc w:val="center"/>
              <w:rPr>
                <w:sz w:val="24"/>
                <w:szCs w:val="24"/>
              </w:rPr>
            </w:pPr>
          </w:p>
        </w:tc>
        <w:tc>
          <w:tcPr>
            <w:tcW w:w="3457" w:type="dxa"/>
            <w:vAlign w:val="center"/>
          </w:tcPr>
          <w:p w14:paraId="642D06EA">
            <w:pPr>
              <w:rPr>
                <w:sz w:val="24"/>
                <w:szCs w:val="24"/>
              </w:rPr>
            </w:pPr>
          </w:p>
        </w:tc>
        <w:tc>
          <w:tcPr>
            <w:tcW w:w="1690" w:type="dxa"/>
            <w:vAlign w:val="center"/>
          </w:tcPr>
          <w:p w14:paraId="4BCF1C34">
            <w:pPr>
              <w:jc w:val="center"/>
              <w:rPr>
                <w:sz w:val="24"/>
                <w:szCs w:val="24"/>
              </w:rPr>
            </w:pPr>
          </w:p>
        </w:tc>
        <w:tc>
          <w:tcPr>
            <w:tcW w:w="1885" w:type="dxa"/>
            <w:vAlign w:val="center"/>
          </w:tcPr>
          <w:p w14:paraId="4514A9CE">
            <w:pPr>
              <w:jc w:val="center"/>
              <w:rPr>
                <w:sz w:val="24"/>
                <w:szCs w:val="24"/>
              </w:rPr>
            </w:pPr>
          </w:p>
        </w:tc>
        <w:tc>
          <w:tcPr>
            <w:tcW w:w="1485" w:type="dxa"/>
            <w:vAlign w:val="center"/>
          </w:tcPr>
          <w:p w14:paraId="2EF03E22">
            <w:pPr>
              <w:jc w:val="center"/>
              <w:rPr>
                <w:sz w:val="24"/>
                <w:szCs w:val="24"/>
              </w:rPr>
            </w:pPr>
          </w:p>
        </w:tc>
      </w:tr>
      <w:tr w14:paraId="2CD3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1459B63F">
            <w:pPr>
              <w:jc w:val="center"/>
              <w:rPr>
                <w:sz w:val="24"/>
                <w:szCs w:val="24"/>
              </w:rPr>
            </w:pPr>
          </w:p>
        </w:tc>
        <w:tc>
          <w:tcPr>
            <w:tcW w:w="3457" w:type="dxa"/>
            <w:vAlign w:val="center"/>
          </w:tcPr>
          <w:p w14:paraId="6B23EA8F">
            <w:pPr>
              <w:rPr>
                <w:sz w:val="24"/>
                <w:szCs w:val="24"/>
              </w:rPr>
            </w:pPr>
          </w:p>
        </w:tc>
        <w:tc>
          <w:tcPr>
            <w:tcW w:w="1690" w:type="dxa"/>
            <w:vAlign w:val="center"/>
          </w:tcPr>
          <w:p w14:paraId="31B6C56C">
            <w:pPr>
              <w:jc w:val="center"/>
              <w:rPr>
                <w:sz w:val="24"/>
                <w:szCs w:val="24"/>
              </w:rPr>
            </w:pPr>
          </w:p>
        </w:tc>
        <w:tc>
          <w:tcPr>
            <w:tcW w:w="1885" w:type="dxa"/>
            <w:vAlign w:val="center"/>
          </w:tcPr>
          <w:p w14:paraId="3EAC2F99">
            <w:pPr>
              <w:jc w:val="center"/>
              <w:rPr>
                <w:sz w:val="24"/>
                <w:szCs w:val="24"/>
              </w:rPr>
            </w:pPr>
          </w:p>
        </w:tc>
        <w:tc>
          <w:tcPr>
            <w:tcW w:w="1485" w:type="dxa"/>
            <w:vAlign w:val="center"/>
          </w:tcPr>
          <w:p w14:paraId="7D63B1FA">
            <w:pPr>
              <w:jc w:val="center"/>
              <w:rPr>
                <w:sz w:val="24"/>
                <w:szCs w:val="24"/>
              </w:rPr>
            </w:pPr>
          </w:p>
        </w:tc>
      </w:tr>
      <w:tr w14:paraId="3A62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00C24802">
            <w:pPr>
              <w:jc w:val="center"/>
              <w:rPr>
                <w:sz w:val="24"/>
                <w:szCs w:val="24"/>
              </w:rPr>
            </w:pPr>
          </w:p>
        </w:tc>
        <w:tc>
          <w:tcPr>
            <w:tcW w:w="3457" w:type="dxa"/>
            <w:vAlign w:val="center"/>
          </w:tcPr>
          <w:p w14:paraId="5FFCF2FE">
            <w:pPr>
              <w:rPr>
                <w:sz w:val="24"/>
                <w:szCs w:val="24"/>
              </w:rPr>
            </w:pPr>
          </w:p>
        </w:tc>
        <w:tc>
          <w:tcPr>
            <w:tcW w:w="1690" w:type="dxa"/>
            <w:vAlign w:val="center"/>
          </w:tcPr>
          <w:p w14:paraId="350251B9">
            <w:pPr>
              <w:jc w:val="center"/>
              <w:rPr>
                <w:sz w:val="24"/>
                <w:szCs w:val="24"/>
              </w:rPr>
            </w:pPr>
          </w:p>
        </w:tc>
        <w:tc>
          <w:tcPr>
            <w:tcW w:w="1885" w:type="dxa"/>
            <w:vAlign w:val="center"/>
          </w:tcPr>
          <w:p w14:paraId="570D7B75">
            <w:pPr>
              <w:jc w:val="center"/>
              <w:rPr>
                <w:sz w:val="24"/>
                <w:szCs w:val="24"/>
              </w:rPr>
            </w:pPr>
          </w:p>
        </w:tc>
        <w:tc>
          <w:tcPr>
            <w:tcW w:w="1485" w:type="dxa"/>
            <w:vAlign w:val="center"/>
          </w:tcPr>
          <w:p w14:paraId="4ABD8969">
            <w:pPr>
              <w:jc w:val="center"/>
              <w:rPr>
                <w:sz w:val="24"/>
                <w:szCs w:val="24"/>
              </w:rPr>
            </w:pPr>
          </w:p>
        </w:tc>
      </w:tr>
      <w:tr w14:paraId="2A3B2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004F5C26">
            <w:pPr>
              <w:jc w:val="center"/>
              <w:rPr>
                <w:sz w:val="24"/>
                <w:szCs w:val="24"/>
              </w:rPr>
            </w:pPr>
          </w:p>
        </w:tc>
        <w:tc>
          <w:tcPr>
            <w:tcW w:w="3457" w:type="dxa"/>
            <w:vAlign w:val="center"/>
          </w:tcPr>
          <w:p w14:paraId="3C4B1401">
            <w:pPr>
              <w:rPr>
                <w:sz w:val="24"/>
                <w:szCs w:val="24"/>
              </w:rPr>
            </w:pPr>
          </w:p>
        </w:tc>
        <w:tc>
          <w:tcPr>
            <w:tcW w:w="1690" w:type="dxa"/>
            <w:vAlign w:val="center"/>
          </w:tcPr>
          <w:p w14:paraId="1C243667">
            <w:pPr>
              <w:jc w:val="center"/>
              <w:rPr>
                <w:sz w:val="24"/>
                <w:szCs w:val="24"/>
              </w:rPr>
            </w:pPr>
          </w:p>
        </w:tc>
        <w:tc>
          <w:tcPr>
            <w:tcW w:w="1885" w:type="dxa"/>
            <w:vAlign w:val="center"/>
          </w:tcPr>
          <w:p w14:paraId="1BC1D015">
            <w:pPr>
              <w:jc w:val="center"/>
              <w:rPr>
                <w:sz w:val="24"/>
                <w:szCs w:val="24"/>
              </w:rPr>
            </w:pPr>
          </w:p>
        </w:tc>
        <w:tc>
          <w:tcPr>
            <w:tcW w:w="1485" w:type="dxa"/>
            <w:vAlign w:val="center"/>
          </w:tcPr>
          <w:p w14:paraId="09A30C8C">
            <w:pPr>
              <w:jc w:val="center"/>
              <w:rPr>
                <w:sz w:val="24"/>
                <w:szCs w:val="24"/>
              </w:rPr>
            </w:pPr>
          </w:p>
        </w:tc>
      </w:tr>
      <w:tr w14:paraId="3CE15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53CB5522">
            <w:pPr>
              <w:jc w:val="center"/>
              <w:rPr>
                <w:sz w:val="24"/>
                <w:szCs w:val="24"/>
              </w:rPr>
            </w:pPr>
          </w:p>
        </w:tc>
        <w:tc>
          <w:tcPr>
            <w:tcW w:w="3457" w:type="dxa"/>
            <w:tcBorders>
              <w:top w:val="nil"/>
            </w:tcBorders>
            <w:vAlign w:val="center"/>
          </w:tcPr>
          <w:p w14:paraId="2A50627A">
            <w:pPr>
              <w:rPr>
                <w:sz w:val="24"/>
                <w:szCs w:val="24"/>
              </w:rPr>
            </w:pPr>
          </w:p>
        </w:tc>
        <w:tc>
          <w:tcPr>
            <w:tcW w:w="1690" w:type="dxa"/>
            <w:vAlign w:val="center"/>
          </w:tcPr>
          <w:p w14:paraId="12D07A71">
            <w:pPr>
              <w:jc w:val="center"/>
              <w:rPr>
                <w:sz w:val="24"/>
                <w:szCs w:val="24"/>
              </w:rPr>
            </w:pPr>
          </w:p>
        </w:tc>
        <w:tc>
          <w:tcPr>
            <w:tcW w:w="1885" w:type="dxa"/>
            <w:vAlign w:val="center"/>
          </w:tcPr>
          <w:p w14:paraId="52E73672">
            <w:pPr>
              <w:jc w:val="center"/>
              <w:rPr>
                <w:sz w:val="24"/>
                <w:szCs w:val="24"/>
              </w:rPr>
            </w:pPr>
          </w:p>
        </w:tc>
        <w:tc>
          <w:tcPr>
            <w:tcW w:w="1485" w:type="dxa"/>
            <w:vAlign w:val="center"/>
          </w:tcPr>
          <w:p w14:paraId="5A94956F">
            <w:pPr>
              <w:jc w:val="center"/>
              <w:rPr>
                <w:sz w:val="24"/>
                <w:szCs w:val="24"/>
              </w:rPr>
            </w:pPr>
          </w:p>
        </w:tc>
      </w:tr>
      <w:tr w14:paraId="6F381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7CDD63AF">
            <w:pPr>
              <w:jc w:val="center"/>
              <w:rPr>
                <w:sz w:val="24"/>
                <w:szCs w:val="24"/>
              </w:rPr>
            </w:pPr>
          </w:p>
        </w:tc>
        <w:tc>
          <w:tcPr>
            <w:tcW w:w="3457" w:type="dxa"/>
            <w:vAlign w:val="center"/>
          </w:tcPr>
          <w:p w14:paraId="6E625B4E">
            <w:pPr>
              <w:rPr>
                <w:sz w:val="24"/>
                <w:szCs w:val="24"/>
              </w:rPr>
            </w:pPr>
          </w:p>
        </w:tc>
        <w:tc>
          <w:tcPr>
            <w:tcW w:w="1690" w:type="dxa"/>
            <w:vAlign w:val="center"/>
          </w:tcPr>
          <w:p w14:paraId="3CB9D70D">
            <w:pPr>
              <w:jc w:val="center"/>
              <w:rPr>
                <w:sz w:val="24"/>
                <w:szCs w:val="24"/>
              </w:rPr>
            </w:pPr>
          </w:p>
        </w:tc>
        <w:tc>
          <w:tcPr>
            <w:tcW w:w="1885" w:type="dxa"/>
            <w:vAlign w:val="center"/>
          </w:tcPr>
          <w:p w14:paraId="32929804">
            <w:pPr>
              <w:jc w:val="center"/>
              <w:rPr>
                <w:sz w:val="24"/>
                <w:szCs w:val="24"/>
              </w:rPr>
            </w:pPr>
          </w:p>
        </w:tc>
        <w:tc>
          <w:tcPr>
            <w:tcW w:w="1485" w:type="dxa"/>
            <w:vAlign w:val="center"/>
          </w:tcPr>
          <w:p w14:paraId="78AD0617">
            <w:pPr>
              <w:jc w:val="center"/>
              <w:rPr>
                <w:sz w:val="24"/>
                <w:szCs w:val="24"/>
              </w:rPr>
            </w:pPr>
          </w:p>
        </w:tc>
      </w:tr>
      <w:tr w14:paraId="26AA8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1B2A0054">
            <w:pPr>
              <w:jc w:val="center"/>
              <w:rPr>
                <w:sz w:val="24"/>
                <w:szCs w:val="24"/>
              </w:rPr>
            </w:pPr>
          </w:p>
        </w:tc>
        <w:tc>
          <w:tcPr>
            <w:tcW w:w="3457" w:type="dxa"/>
            <w:vAlign w:val="center"/>
          </w:tcPr>
          <w:p w14:paraId="53CC9D6B">
            <w:pPr>
              <w:rPr>
                <w:sz w:val="24"/>
                <w:szCs w:val="24"/>
              </w:rPr>
            </w:pPr>
          </w:p>
        </w:tc>
        <w:tc>
          <w:tcPr>
            <w:tcW w:w="1690" w:type="dxa"/>
            <w:vAlign w:val="center"/>
          </w:tcPr>
          <w:p w14:paraId="2C15A785">
            <w:pPr>
              <w:jc w:val="center"/>
              <w:rPr>
                <w:sz w:val="24"/>
                <w:szCs w:val="24"/>
              </w:rPr>
            </w:pPr>
          </w:p>
        </w:tc>
        <w:tc>
          <w:tcPr>
            <w:tcW w:w="1885" w:type="dxa"/>
            <w:vAlign w:val="center"/>
          </w:tcPr>
          <w:p w14:paraId="560DC8C5">
            <w:pPr>
              <w:jc w:val="center"/>
              <w:rPr>
                <w:sz w:val="24"/>
                <w:szCs w:val="24"/>
              </w:rPr>
            </w:pPr>
          </w:p>
        </w:tc>
        <w:tc>
          <w:tcPr>
            <w:tcW w:w="1485" w:type="dxa"/>
            <w:vAlign w:val="center"/>
          </w:tcPr>
          <w:p w14:paraId="2B497739">
            <w:pPr>
              <w:jc w:val="center"/>
              <w:rPr>
                <w:sz w:val="24"/>
                <w:szCs w:val="24"/>
              </w:rPr>
            </w:pPr>
          </w:p>
        </w:tc>
      </w:tr>
      <w:tr w14:paraId="78171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6A2746C6">
            <w:pPr>
              <w:jc w:val="center"/>
              <w:rPr>
                <w:sz w:val="24"/>
                <w:szCs w:val="24"/>
              </w:rPr>
            </w:pPr>
          </w:p>
        </w:tc>
        <w:tc>
          <w:tcPr>
            <w:tcW w:w="3457" w:type="dxa"/>
            <w:vAlign w:val="center"/>
          </w:tcPr>
          <w:p w14:paraId="405B3099">
            <w:pPr>
              <w:rPr>
                <w:sz w:val="24"/>
                <w:szCs w:val="24"/>
              </w:rPr>
            </w:pPr>
          </w:p>
        </w:tc>
        <w:tc>
          <w:tcPr>
            <w:tcW w:w="1690" w:type="dxa"/>
            <w:vAlign w:val="center"/>
          </w:tcPr>
          <w:p w14:paraId="2D3C43A0">
            <w:pPr>
              <w:jc w:val="center"/>
              <w:rPr>
                <w:sz w:val="24"/>
                <w:szCs w:val="24"/>
              </w:rPr>
            </w:pPr>
          </w:p>
        </w:tc>
        <w:tc>
          <w:tcPr>
            <w:tcW w:w="1885" w:type="dxa"/>
            <w:vAlign w:val="center"/>
          </w:tcPr>
          <w:p w14:paraId="4127D868">
            <w:pPr>
              <w:jc w:val="center"/>
              <w:rPr>
                <w:sz w:val="24"/>
                <w:szCs w:val="24"/>
              </w:rPr>
            </w:pPr>
          </w:p>
        </w:tc>
        <w:tc>
          <w:tcPr>
            <w:tcW w:w="1485" w:type="dxa"/>
            <w:vAlign w:val="center"/>
          </w:tcPr>
          <w:p w14:paraId="19278B88">
            <w:pPr>
              <w:jc w:val="center"/>
              <w:rPr>
                <w:sz w:val="24"/>
                <w:szCs w:val="24"/>
              </w:rPr>
            </w:pPr>
          </w:p>
        </w:tc>
      </w:tr>
      <w:tr w14:paraId="41AE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5BFE34C8">
            <w:pPr>
              <w:jc w:val="center"/>
              <w:rPr>
                <w:sz w:val="24"/>
                <w:szCs w:val="24"/>
              </w:rPr>
            </w:pPr>
          </w:p>
        </w:tc>
        <w:tc>
          <w:tcPr>
            <w:tcW w:w="3457" w:type="dxa"/>
            <w:vAlign w:val="center"/>
          </w:tcPr>
          <w:p w14:paraId="6CDCC9F6">
            <w:pPr>
              <w:rPr>
                <w:sz w:val="24"/>
                <w:szCs w:val="24"/>
              </w:rPr>
            </w:pPr>
          </w:p>
        </w:tc>
        <w:tc>
          <w:tcPr>
            <w:tcW w:w="1690" w:type="dxa"/>
            <w:vAlign w:val="center"/>
          </w:tcPr>
          <w:p w14:paraId="59E6DD87">
            <w:pPr>
              <w:jc w:val="center"/>
              <w:rPr>
                <w:sz w:val="24"/>
                <w:szCs w:val="24"/>
              </w:rPr>
            </w:pPr>
          </w:p>
        </w:tc>
        <w:tc>
          <w:tcPr>
            <w:tcW w:w="1885" w:type="dxa"/>
            <w:vAlign w:val="center"/>
          </w:tcPr>
          <w:p w14:paraId="6CE0BD6D">
            <w:pPr>
              <w:jc w:val="center"/>
              <w:rPr>
                <w:sz w:val="24"/>
                <w:szCs w:val="24"/>
              </w:rPr>
            </w:pPr>
          </w:p>
        </w:tc>
        <w:tc>
          <w:tcPr>
            <w:tcW w:w="1485" w:type="dxa"/>
            <w:vAlign w:val="center"/>
          </w:tcPr>
          <w:p w14:paraId="7EF67969">
            <w:pPr>
              <w:jc w:val="center"/>
              <w:rPr>
                <w:sz w:val="24"/>
                <w:szCs w:val="24"/>
              </w:rPr>
            </w:pPr>
          </w:p>
        </w:tc>
      </w:tr>
      <w:tr w14:paraId="331EC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4C6FBFFB">
            <w:pPr>
              <w:jc w:val="center"/>
              <w:rPr>
                <w:sz w:val="24"/>
                <w:szCs w:val="24"/>
              </w:rPr>
            </w:pPr>
          </w:p>
        </w:tc>
        <w:tc>
          <w:tcPr>
            <w:tcW w:w="3457" w:type="dxa"/>
            <w:vAlign w:val="center"/>
          </w:tcPr>
          <w:p w14:paraId="1BC2EFFC">
            <w:pPr>
              <w:rPr>
                <w:sz w:val="24"/>
                <w:szCs w:val="24"/>
              </w:rPr>
            </w:pPr>
          </w:p>
        </w:tc>
        <w:tc>
          <w:tcPr>
            <w:tcW w:w="1690" w:type="dxa"/>
            <w:vAlign w:val="center"/>
          </w:tcPr>
          <w:p w14:paraId="1D794A3F">
            <w:pPr>
              <w:jc w:val="center"/>
              <w:rPr>
                <w:sz w:val="24"/>
                <w:szCs w:val="24"/>
              </w:rPr>
            </w:pPr>
          </w:p>
        </w:tc>
        <w:tc>
          <w:tcPr>
            <w:tcW w:w="1885" w:type="dxa"/>
            <w:vAlign w:val="center"/>
          </w:tcPr>
          <w:p w14:paraId="1D2B2DF5">
            <w:pPr>
              <w:jc w:val="center"/>
              <w:rPr>
                <w:sz w:val="24"/>
                <w:szCs w:val="24"/>
              </w:rPr>
            </w:pPr>
          </w:p>
        </w:tc>
        <w:tc>
          <w:tcPr>
            <w:tcW w:w="1485" w:type="dxa"/>
            <w:vAlign w:val="center"/>
          </w:tcPr>
          <w:p w14:paraId="2EC0AEF1">
            <w:pPr>
              <w:jc w:val="center"/>
              <w:rPr>
                <w:sz w:val="24"/>
                <w:szCs w:val="24"/>
              </w:rPr>
            </w:pPr>
          </w:p>
        </w:tc>
      </w:tr>
      <w:tr w14:paraId="4A41A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60" w:type="dxa"/>
            <w:vAlign w:val="center"/>
          </w:tcPr>
          <w:p w14:paraId="0789745A">
            <w:pPr>
              <w:jc w:val="center"/>
              <w:rPr>
                <w:sz w:val="24"/>
                <w:szCs w:val="24"/>
              </w:rPr>
            </w:pPr>
          </w:p>
        </w:tc>
        <w:tc>
          <w:tcPr>
            <w:tcW w:w="3457" w:type="dxa"/>
            <w:vAlign w:val="center"/>
          </w:tcPr>
          <w:p w14:paraId="3742197F">
            <w:pPr>
              <w:rPr>
                <w:sz w:val="24"/>
                <w:szCs w:val="24"/>
              </w:rPr>
            </w:pPr>
          </w:p>
        </w:tc>
        <w:tc>
          <w:tcPr>
            <w:tcW w:w="1690" w:type="dxa"/>
            <w:vAlign w:val="center"/>
          </w:tcPr>
          <w:p w14:paraId="2BFB3D67">
            <w:pPr>
              <w:jc w:val="center"/>
              <w:rPr>
                <w:sz w:val="24"/>
                <w:szCs w:val="24"/>
              </w:rPr>
            </w:pPr>
          </w:p>
        </w:tc>
        <w:tc>
          <w:tcPr>
            <w:tcW w:w="1885" w:type="dxa"/>
            <w:vAlign w:val="center"/>
          </w:tcPr>
          <w:p w14:paraId="03107EAA">
            <w:pPr>
              <w:jc w:val="center"/>
              <w:rPr>
                <w:sz w:val="24"/>
                <w:szCs w:val="24"/>
              </w:rPr>
            </w:pPr>
          </w:p>
        </w:tc>
        <w:tc>
          <w:tcPr>
            <w:tcW w:w="1485" w:type="dxa"/>
            <w:vAlign w:val="center"/>
          </w:tcPr>
          <w:p w14:paraId="5FBDF931">
            <w:pPr>
              <w:jc w:val="center"/>
              <w:rPr>
                <w:sz w:val="24"/>
                <w:szCs w:val="24"/>
              </w:rPr>
            </w:pPr>
          </w:p>
        </w:tc>
      </w:tr>
      <w:tr w14:paraId="3833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60" w:type="dxa"/>
            <w:vAlign w:val="center"/>
          </w:tcPr>
          <w:p w14:paraId="7F5A4166">
            <w:pPr>
              <w:jc w:val="center"/>
              <w:rPr>
                <w:sz w:val="24"/>
                <w:szCs w:val="24"/>
              </w:rPr>
            </w:pPr>
          </w:p>
        </w:tc>
        <w:tc>
          <w:tcPr>
            <w:tcW w:w="3457" w:type="dxa"/>
            <w:vAlign w:val="center"/>
          </w:tcPr>
          <w:p w14:paraId="0A29390C">
            <w:pPr>
              <w:rPr>
                <w:sz w:val="24"/>
                <w:szCs w:val="24"/>
              </w:rPr>
            </w:pPr>
          </w:p>
        </w:tc>
        <w:tc>
          <w:tcPr>
            <w:tcW w:w="1690" w:type="dxa"/>
            <w:vAlign w:val="center"/>
          </w:tcPr>
          <w:p w14:paraId="2CA44F98">
            <w:pPr>
              <w:jc w:val="center"/>
              <w:rPr>
                <w:sz w:val="24"/>
                <w:szCs w:val="24"/>
              </w:rPr>
            </w:pPr>
          </w:p>
        </w:tc>
        <w:tc>
          <w:tcPr>
            <w:tcW w:w="1885" w:type="dxa"/>
            <w:vAlign w:val="center"/>
          </w:tcPr>
          <w:p w14:paraId="3F9ABC20">
            <w:pPr>
              <w:jc w:val="center"/>
              <w:rPr>
                <w:sz w:val="24"/>
                <w:szCs w:val="24"/>
              </w:rPr>
            </w:pPr>
          </w:p>
        </w:tc>
        <w:tc>
          <w:tcPr>
            <w:tcW w:w="1485" w:type="dxa"/>
            <w:vAlign w:val="center"/>
          </w:tcPr>
          <w:p w14:paraId="6D1B116F">
            <w:pPr>
              <w:jc w:val="center"/>
              <w:rPr>
                <w:sz w:val="24"/>
                <w:szCs w:val="24"/>
              </w:rPr>
            </w:pPr>
          </w:p>
        </w:tc>
      </w:tr>
      <w:tr w14:paraId="6DB60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60" w:type="dxa"/>
            <w:vAlign w:val="center"/>
          </w:tcPr>
          <w:p w14:paraId="455B6FE8">
            <w:pPr>
              <w:jc w:val="center"/>
              <w:rPr>
                <w:sz w:val="24"/>
                <w:szCs w:val="24"/>
              </w:rPr>
            </w:pPr>
          </w:p>
        </w:tc>
        <w:tc>
          <w:tcPr>
            <w:tcW w:w="3457" w:type="dxa"/>
            <w:vAlign w:val="center"/>
          </w:tcPr>
          <w:p w14:paraId="54247FE0">
            <w:pPr>
              <w:rPr>
                <w:sz w:val="24"/>
                <w:szCs w:val="24"/>
              </w:rPr>
            </w:pPr>
          </w:p>
          <w:p w14:paraId="680FBD1B">
            <w:pPr>
              <w:bidi w:val="0"/>
              <w:jc w:val="center"/>
              <w:rPr>
                <w:rFonts w:ascii="Times New Roman" w:hAnsi="Times New Roman" w:eastAsia="宋体" w:cs="Times New Roman"/>
                <w:kern w:val="2"/>
                <w:sz w:val="21"/>
                <w:szCs w:val="24"/>
                <w:lang w:val="en-US" w:eastAsia="zh-CN" w:bidi="ar-SA"/>
              </w:rPr>
            </w:pPr>
          </w:p>
        </w:tc>
        <w:tc>
          <w:tcPr>
            <w:tcW w:w="1690" w:type="dxa"/>
            <w:vAlign w:val="center"/>
          </w:tcPr>
          <w:p w14:paraId="019A0D76">
            <w:pPr>
              <w:jc w:val="center"/>
              <w:rPr>
                <w:sz w:val="24"/>
                <w:szCs w:val="24"/>
              </w:rPr>
            </w:pPr>
          </w:p>
        </w:tc>
        <w:tc>
          <w:tcPr>
            <w:tcW w:w="1885" w:type="dxa"/>
            <w:vAlign w:val="center"/>
          </w:tcPr>
          <w:p w14:paraId="0FF5D463">
            <w:pPr>
              <w:jc w:val="center"/>
              <w:rPr>
                <w:sz w:val="24"/>
                <w:szCs w:val="24"/>
              </w:rPr>
            </w:pPr>
          </w:p>
        </w:tc>
        <w:tc>
          <w:tcPr>
            <w:tcW w:w="1485" w:type="dxa"/>
            <w:vAlign w:val="center"/>
          </w:tcPr>
          <w:p w14:paraId="6A64389C">
            <w:pPr>
              <w:jc w:val="center"/>
              <w:rPr>
                <w:sz w:val="24"/>
                <w:szCs w:val="24"/>
              </w:rPr>
            </w:pPr>
          </w:p>
        </w:tc>
      </w:tr>
      <w:tr w14:paraId="6620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60" w:type="dxa"/>
            <w:vAlign w:val="center"/>
          </w:tcPr>
          <w:p w14:paraId="5D8CD143">
            <w:pPr>
              <w:jc w:val="center"/>
              <w:rPr>
                <w:sz w:val="24"/>
                <w:szCs w:val="24"/>
              </w:rPr>
            </w:pPr>
          </w:p>
        </w:tc>
        <w:tc>
          <w:tcPr>
            <w:tcW w:w="3457" w:type="dxa"/>
            <w:vAlign w:val="center"/>
          </w:tcPr>
          <w:p w14:paraId="4B341719">
            <w:pPr>
              <w:rPr>
                <w:sz w:val="24"/>
                <w:szCs w:val="24"/>
              </w:rPr>
            </w:pPr>
          </w:p>
        </w:tc>
        <w:tc>
          <w:tcPr>
            <w:tcW w:w="1690" w:type="dxa"/>
            <w:vAlign w:val="center"/>
          </w:tcPr>
          <w:p w14:paraId="5DF7BDDC">
            <w:pPr>
              <w:jc w:val="center"/>
              <w:rPr>
                <w:sz w:val="24"/>
                <w:szCs w:val="24"/>
              </w:rPr>
            </w:pPr>
          </w:p>
        </w:tc>
        <w:tc>
          <w:tcPr>
            <w:tcW w:w="1885" w:type="dxa"/>
            <w:vAlign w:val="center"/>
          </w:tcPr>
          <w:p w14:paraId="7A36BC05">
            <w:pPr>
              <w:jc w:val="center"/>
              <w:rPr>
                <w:sz w:val="24"/>
                <w:szCs w:val="24"/>
              </w:rPr>
            </w:pPr>
          </w:p>
        </w:tc>
        <w:tc>
          <w:tcPr>
            <w:tcW w:w="1485" w:type="dxa"/>
            <w:vAlign w:val="center"/>
          </w:tcPr>
          <w:p w14:paraId="6CBED5A5">
            <w:pPr>
              <w:jc w:val="center"/>
              <w:rPr>
                <w:sz w:val="24"/>
                <w:szCs w:val="24"/>
              </w:rPr>
            </w:pPr>
          </w:p>
        </w:tc>
      </w:tr>
      <w:tr w14:paraId="7948F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260" w:type="dxa"/>
            <w:vAlign w:val="center"/>
          </w:tcPr>
          <w:p w14:paraId="4DF34AAC">
            <w:pPr>
              <w:jc w:val="center"/>
              <w:rPr>
                <w:sz w:val="24"/>
                <w:szCs w:val="24"/>
              </w:rPr>
            </w:pPr>
          </w:p>
        </w:tc>
        <w:tc>
          <w:tcPr>
            <w:tcW w:w="3457" w:type="dxa"/>
            <w:vAlign w:val="center"/>
          </w:tcPr>
          <w:p w14:paraId="62A2B96B">
            <w:pPr>
              <w:rPr>
                <w:sz w:val="24"/>
                <w:szCs w:val="24"/>
              </w:rPr>
            </w:pPr>
          </w:p>
        </w:tc>
        <w:tc>
          <w:tcPr>
            <w:tcW w:w="1690" w:type="dxa"/>
            <w:vAlign w:val="center"/>
          </w:tcPr>
          <w:p w14:paraId="66EDD497">
            <w:pPr>
              <w:jc w:val="center"/>
              <w:rPr>
                <w:sz w:val="24"/>
                <w:szCs w:val="24"/>
              </w:rPr>
            </w:pPr>
          </w:p>
        </w:tc>
        <w:tc>
          <w:tcPr>
            <w:tcW w:w="1885" w:type="dxa"/>
            <w:vAlign w:val="center"/>
          </w:tcPr>
          <w:p w14:paraId="0AF7DB0E">
            <w:pPr>
              <w:jc w:val="center"/>
              <w:rPr>
                <w:sz w:val="24"/>
                <w:szCs w:val="24"/>
              </w:rPr>
            </w:pPr>
          </w:p>
        </w:tc>
        <w:tc>
          <w:tcPr>
            <w:tcW w:w="1485" w:type="dxa"/>
            <w:vAlign w:val="center"/>
          </w:tcPr>
          <w:p w14:paraId="572B24EA">
            <w:pPr>
              <w:jc w:val="center"/>
              <w:rPr>
                <w:sz w:val="24"/>
                <w:szCs w:val="24"/>
              </w:rPr>
            </w:pPr>
          </w:p>
        </w:tc>
      </w:tr>
    </w:tbl>
    <w:p w14:paraId="2C006F1B">
      <w:pPr>
        <w:spacing w:before="240" w:line="480" w:lineRule="exact"/>
        <w:jc w:val="center"/>
        <w:rPr>
          <w:color w:val="000000" w:themeColor="text1"/>
          <w:sz w:val="24"/>
          <w14:textFill>
            <w14:solidFill>
              <w14:schemeClr w14:val="tx1"/>
            </w14:solidFill>
          </w14:textFill>
        </w:rPr>
      </w:pPr>
      <w:r>
        <w:rPr>
          <w:rFonts w:hint="eastAsia" w:ascii="微软雅黑" w:hAnsi="微软雅黑" w:eastAsia="微软雅黑"/>
          <w:b/>
          <w:bCs/>
          <w:color w:val="000000" w:themeColor="text1"/>
          <w:sz w:val="28"/>
          <w:szCs w:val="20"/>
          <w14:textFill>
            <w14:solidFill>
              <w14:schemeClr w14:val="tx1"/>
            </w14:solidFill>
          </w14:textFill>
        </w:rPr>
        <w:t>目  录</w:t>
      </w:r>
    </w:p>
    <w:p w14:paraId="1947D07D">
      <w:pPr>
        <w:pStyle w:val="7"/>
        <w:tabs>
          <w:tab w:val="right" w:leader="dot" w:pos="8306"/>
        </w:tabs>
        <w:spacing w:line="360" w:lineRule="auto"/>
        <w:rPr>
          <w:color w:val="000000" w:themeColor="text1"/>
          <w:sz w:val="24"/>
          <w14:textFill>
            <w14:solidFill>
              <w14:schemeClr w14:val="tx1"/>
            </w14:solidFill>
          </w14:textFill>
        </w:rPr>
      </w:pPr>
      <w:r>
        <w:rPr>
          <w:rFonts w:ascii="宋体" w:hAnsi="宋体"/>
          <w:color w:val="000000" w:themeColor="text1"/>
          <w:kern w:val="0"/>
          <w:sz w:val="24"/>
          <w14:textFill>
            <w14:solidFill>
              <w14:schemeClr w14:val="tx1"/>
            </w14:solidFill>
          </w14:textFill>
        </w:rPr>
        <w:fldChar w:fldCharType="begin"/>
      </w:r>
      <w:r>
        <w:rPr>
          <w:rFonts w:ascii="宋体" w:hAnsi="宋体"/>
          <w:color w:val="000000" w:themeColor="text1"/>
          <w:kern w:val="0"/>
          <w:sz w:val="24"/>
          <w14:textFill>
            <w14:solidFill>
              <w14:schemeClr w14:val="tx1"/>
            </w14:solidFill>
          </w14:textFill>
        </w:rPr>
        <w:instrText xml:space="preserve"> HYPERLINK \l _Toc23385 </w:instrText>
      </w:r>
      <w:r>
        <w:rPr>
          <w:rFonts w:ascii="宋体" w:hAnsi="宋体"/>
          <w:color w:val="000000" w:themeColor="text1"/>
          <w:kern w:val="0"/>
          <w:sz w:val="24"/>
          <w14:textFill>
            <w14:solidFill>
              <w14:schemeClr w14:val="tx1"/>
            </w14:solidFill>
          </w14:textFill>
        </w:rPr>
        <w:fldChar w:fldCharType="separate"/>
      </w:r>
      <w:r>
        <w:rPr>
          <w:rFonts w:hint="eastAsia" w:ascii="Times New Roman" w:hAnsi="Times New Roman" w:eastAsia="宋体"/>
          <w:color w:val="000000" w:themeColor="text1"/>
          <w:kern w:val="0"/>
          <w:sz w:val="24"/>
          <w:lang w:val="en-US" w:eastAsia="zh-CN"/>
          <w14:textFill>
            <w14:solidFill>
              <w14:schemeClr w14:val="tx1"/>
            </w14:solidFill>
          </w14:textFill>
        </w:rPr>
        <w:t>1 适用范围-----------------------------------------------------------------------------------------------------</w:t>
      </w: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t>4</w:t>
      </w:r>
      <w:r>
        <w:rPr>
          <w:rFonts w:ascii="宋体" w:hAnsi="宋体"/>
          <w:color w:val="000000" w:themeColor="text1"/>
          <w:kern w:val="0"/>
          <w:sz w:val="24"/>
          <w14:textFill>
            <w14:solidFill>
              <w14:schemeClr w14:val="tx1"/>
            </w14:solidFill>
          </w14:textFill>
        </w:rPr>
        <w:fldChar w:fldCharType="end"/>
      </w:r>
    </w:p>
    <w:p w14:paraId="2876612A">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color w:val="FF0000"/>
          <w:sz w:val="24"/>
        </w:rPr>
      </w:pPr>
      <w:r>
        <w:rPr>
          <w:rFonts w:ascii="宋体" w:hAnsi="宋体"/>
          <w:color w:val="000000" w:themeColor="text1"/>
          <w:kern w:val="0"/>
          <w:sz w:val="24"/>
          <w14:textFill>
            <w14:solidFill>
              <w14:schemeClr w14:val="tx1"/>
            </w14:solidFill>
          </w14:textFill>
        </w:rPr>
        <w:fldChar w:fldCharType="begin"/>
      </w:r>
      <w:r>
        <w:rPr>
          <w:rFonts w:ascii="宋体" w:hAnsi="宋体"/>
          <w:color w:val="000000" w:themeColor="text1"/>
          <w:kern w:val="0"/>
          <w:sz w:val="24"/>
          <w14:textFill>
            <w14:solidFill>
              <w14:schemeClr w14:val="tx1"/>
            </w14:solidFill>
          </w14:textFill>
        </w:rPr>
        <w:instrText xml:space="preserve"> HYPERLINK \l _Toc19455 </w:instrText>
      </w:r>
      <w:r>
        <w:rPr>
          <w:rFonts w:ascii="宋体" w:hAnsi="宋体"/>
          <w:color w:val="000000" w:themeColor="text1"/>
          <w:kern w:val="0"/>
          <w:sz w:val="24"/>
          <w14:textFill>
            <w14:solidFill>
              <w14:schemeClr w14:val="tx1"/>
            </w14:solidFill>
          </w14:textFill>
        </w:rPr>
        <w:fldChar w:fldCharType="separate"/>
      </w:r>
      <w:r>
        <w:rPr>
          <w:rFonts w:hint="eastAsia" w:ascii="Times New Roman" w:hAnsi="Times New Roman" w:eastAsia="宋体"/>
          <w:color w:val="000000" w:themeColor="text1"/>
          <w:kern w:val="0"/>
          <w:sz w:val="24"/>
          <w:lang w:val="en-US" w:eastAsia="zh-CN"/>
          <w14:textFill>
            <w14:solidFill>
              <w14:schemeClr w14:val="tx1"/>
            </w14:solidFill>
          </w14:textFill>
        </w:rPr>
        <w:t>2 对本机构的要求--------------------------------------------------------------------------------------------</w:t>
      </w: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t>4</w:t>
      </w:r>
      <w:r>
        <w:rPr>
          <w:rFonts w:ascii="宋体" w:hAnsi="宋体"/>
          <w:color w:val="000000" w:themeColor="text1"/>
          <w:kern w:val="0"/>
          <w:sz w:val="24"/>
          <w14:textFill>
            <w14:solidFill>
              <w14:schemeClr w14:val="tx1"/>
            </w14:solidFill>
          </w14:textFill>
        </w:rPr>
        <w:fldChar w:fldCharType="end"/>
      </w:r>
    </w:p>
    <w:p w14:paraId="597B128A">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fldChar w:fldCharType="begin"/>
      </w:r>
      <w:r>
        <w:rPr>
          <w:rFonts w:ascii="宋体" w:hAnsi="宋体"/>
          <w:color w:val="000000" w:themeColor="text1"/>
          <w:kern w:val="0"/>
          <w:sz w:val="24"/>
          <w14:textFill>
            <w14:solidFill>
              <w14:schemeClr w14:val="tx1"/>
            </w14:solidFill>
          </w14:textFill>
        </w:rPr>
        <w:instrText xml:space="preserve"> HYPERLINK \l _Toc22602 </w:instrText>
      </w:r>
      <w:r>
        <w:rPr>
          <w:rFonts w:ascii="宋体" w:hAnsi="宋体"/>
          <w:color w:val="000000" w:themeColor="text1"/>
          <w:kern w:val="0"/>
          <w:sz w:val="24"/>
          <w14:textFill>
            <w14:solidFill>
              <w14:schemeClr w14:val="tx1"/>
            </w14:solidFill>
          </w14:textFill>
        </w:rPr>
        <w:fldChar w:fldCharType="separate"/>
      </w:r>
      <w:r>
        <w:rPr>
          <w:rFonts w:hint="eastAsia" w:ascii="Times New Roman" w:hAnsi="Times New Roman" w:eastAsia="宋体"/>
          <w:color w:val="000000" w:themeColor="text1"/>
          <w:kern w:val="0"/>
          <w:sz w:val="24"/>
          <w:lang w:val="en-US" w:eastAsia="zh-CN"/>
          <w14:textFill>
            <w14:solidFill>
              <w14:schemeClr w14:val="tx1"/>
            </w14:solidFill>
          </w14:textFill>
        </w:rPr>
        <w:t>3 对认证人员的要求----------------------------------------------------------------------------------------</w:t>
      </w:r>
      <w:r>
        <w:rPr>
          <w:rFonts w:hint="eastAsia" w:eastAsia="宋体"/>
          <w:color w:val="000000" w:themeColor="text1"/>
          <w:sz w:val="22"/>
          <w:szCs w:val="20"/>
          <w:lang w:val="en-US" w:eastAsia="zh-CN"/>
          <w14:textFill>
            <w14:solidFill>
              <w14:schemeClr w14:val="tx1"/>
            </w14:solidFill>
          </w14:textFill>
        </w:rPr>
        <w:t>-</w:t>
      </w: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t>4</w:t>
      </w:r>
      <w:r>
        <w:rPr>
          <w:rFonts w:ascii="宋体" w:hAnsi="宋体"/>
          <w:color w:val="000000" w:themeColor="text1"/>
          <w:kern w:val="0"/>
          <w:sz w:val="24"/>
          <w14:textFill>
            <w14:solidFill>
              <w14:schemeClr w14:val="tx1"/>
            </w14:solidFill>
          </w14:textFill>
        </w:rPr>
        <w:fldChar w:fldCharType="end"/>
      </w:r>
    </w:p>
    <w:p w14:paraId="72EE2F78">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fldChar w:fldCharType="begin"/>
      </w:r>
      <w:r>
        <w:rPr>
          <w:rFonts w:ascii="宋体" w:hAnsi="宋体"/>
          <w:color w:val="000000" w:themeColor="text1"/>
          <w:kern w:val="0"/>
          <w:sz w:val="24"/>
          <w14:textFill>
            <w14:solidFill>
              <w14:schemeClr w14:val="tx1"/>
            </w14:solidFill>
          </w14:textFill>
        </w:rPr>
        <w:instrText xml:space="preserve"> HYPERLINK \l _Toc9576 </w:instrText>
      </w:r>
      <w:r>
        <w:rPr>
          <w:rFonts w:ascii="宋体" w:hAnsi="宋体"/>
          <w:color w:val="000000" w:themeColor="text1"/>
          <w:kern w:val="0"/>
          <w:sz w:val="24"/>
          <w14:textFill>
            <w14:solidFill>
              <w14:schemeClr w14:val="tx1"/>
            </w14:solidFill>
          </w14:textFill>
        </w:rPr>
        <w:fldChar w:fldCharType="separate"/>
      </w:r>
      <w:r>
        <w:rPr>
          <w:rFonts w:hint="eastAsia" w:ascii="Times New Roman" w:hAnsi="Times New Roman" w:eastAsia="宋体"/>
          <w:color w:val="000000" w:themeColor="text1"/>
          <w:kern w:val="0"/>
          <w:sz w:val="24"/>
          <w:lang w:val="en-US" w:eastAsia="zh-CN"/>
          <w14:textFill>
            <w14:solidFill>
              <w14:schemeClr w14:val="tx1"/>
            </w14:solidFill>
          </w14:textFill>
        </w:rPr>
        <w:t>4 初次认证程序 ---------------------------------------------------------------------------------- -----------</w:t>
      </w: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t>4</w:t>
      </w:r>
      <w:r>
        <w:rPr>
          <w:rFonts w:ascii="宋体" w:hAnsi="宋体"/>
          <w:color w:val="000000" w:themeColor="text1"/>
          <w:kern w:val="0"/>
          <w:sz w:val="24"/>
          <w14:textFill>
            <w14:solidFill>
              <w14:schemeClr w14:val="tx1"/>
            </w14:solidFill>
          </w14:textFill>
        </w:rPr>
        <w:fldChar w:fldCharType="end"/>
      </w:r>
    </w:p>
    <w:p w14:paraId="3E3BE11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宋体" w:hAnsi="宋体" w:eastAsia="宋体"/>
          <w:color w:val="000000" w:themeColor="text1"/>
          <w:kern w:val="0"/>
          <w:sz w:val="24"/>
          <w:lang w:val="en-US" w:eastAsia="zh-CN"/>
          <w14:textFill>
            <w14:solidFill>
              <w14:schemeClr w14:val="tx1"/>
            </w14:solidFill>
          </w14:textFill>
        </w:rPr>
      </w:pPr>
      <w:r>
        <w:rPr>
          <w:rFonts w:hint="eastAsia" w:ascii="宋体" w:hAnsi="宋体" w:eastAsia="宋体"/>
          <w:color w:val="000000" w:themeColor="text1"/>
          <w:kern w:val="0"/>
          <w:sz w:val="24"/>
          <w:lang w:val="en-US" w:eastAsia="zh-CN"/>
          <w14:textFill>
            <w14:solidFill>
              <w14:schemeClr w14:val="tx1"/>
            </w14:solidFill>
          </w14:textFill>
        </w:rPr>
        <w:t>4.1 受理认证申请</w:t>
      </w:r>
      <w:r>
        <w:rPr>
          <w:rFonts w:hint="eastAsia" w:ascii="Times New Roman" w:hAnsi="Times New Roman" w:eastAsia="宋体"/>
          <w:color w:val="000000" w:themeColor="text1"/>
          <w:kern w:val="0"/>
          <w:sz w:val="24"/>
          <w:lang w:val="en-US" w:eastAsia="zh-CN"/>
          <w14:textFill>
            <w14:solidFill>
              <w14:schemeClr w14:val="tx1"/>
            </w14:solidFill>
          </w14:textFill>
        </w:rPr>
        <w:t>--------------------------------------------------------------------------------------</w:t>
      </w: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t>4</w:t>
      </w:r>
    </w:p>
    <w:p w14:paraId="28B695B6">
      <w:pPr>
        <w:keepNext w:val="0"/>
        <w:keepLines w:val="0"/>
        <w:pageBreakBefore w:val="0"/>
        <w:widowControl/>
        <w:kinsoku w:val="0"/>
        <w:wordWrap/>
        <w:overflowPunct/>
        <w:topLinePunct w:val="0"/>
        <w:autoSpaceDE w:val="0"/>
        <w:autoSpaceDN w:val="0"/>
        <w:bidi w:val="0"/>
        <w:adjustRightInd w:val="0"/>
        <w:snapToGrid w:val="0"/>
        <w:spacing w:line="360" w:lineRule="auto"/>
        <w:ind w:firstLine="482"/>
        <w:textAlignment w:val="baseline"/>
        <w:rPr>
          <w:rFonts w:hint="default" w:ascii="宋体" w:hAnsi="宋体" w:eastAsia="宋体"/>
          <w:b/>
          <w:bCs/>
          <w:color w:val="000000" w:themeColor="text1"/>
          <w:kern w:val="0"/>
          <w:sz w:val="24"/>
          <w:lang w:val="en-US" w:eastAsia="zh-CN"/>
          <w14:textFill>
            <w14:solidFill>
              <w14:schemeClr w14:val="tx1"/>
            </w14:solidFill>
          </w14:textFill>
        </w:rPr>
      </w:pPr>
      <w:r>
        <w:rPr>
          <w:rFonts w:hint="eastAsia" w:ascii="宋体" w:hAnsi="宋体" w:eastAsia="宋体"/>
          <w:color w:val="000000" w:themeColor="text1"/>
          <w:kern w:val="0"/>
          <w:sz w:val="24"/>
          <w:lang w:val="en-US" w:eastAsia="zh-CN"/>
          <w14:textFill>
            <w14:solidFill>
              <w14:schemeClr w14:val="tx1"/>
            </w14:solidFill>
          </w14:textFill>
        </w:rPr>
        <w:t>4.2 制定审核计划</w:t>
      </w:r>
      <w:r>
        <w:rPr>
          <w:rFonts w:hint="eastAsia" w:ascii="Times New Roman" w:hAnsi="Times New Roman" w:eastAsia="宋体"/>
          <w:color w:val="000000" w:themeColor="text1"/>
          <w:kern w:val="0"/>
          <w:sz w:val="24"/>
          <w:lang w:val="en-US" w:eastAsia="zh-CN"/>
          <w14:textFill>
            <w14:solidFill>
              <w14:schemeClr w14:val="tx1"/>
            </w14:solidFill>
          </w14:textFill>
        </w:rPr>
        <w:t>--------------------------------------------------------------------------------------</w:t>
      </w: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t>6</w:t>
      </w:r>
    </w:p>
    <w:p w14:paraId="6D6D02A0">
      <w:pPr>
        <w:keepNext w:val="0"/>
        <w:keepLines w:val="0"/>
        <w:pageBreakBefore w:val="0"/>
        <w:widowControl/>
        <w:kinsoku w:val="0"/>
        <w:wordWrap/>
        <w:overflowPunct/>
        <w:topLinePunct w:val="0"/>
        <w:autoSpaceDE w:val="0"/>
        <w:autoSpaceDN w:val="0"/>
        <w:bidi w:val="0"/>
        <w:adjustRightInd w:val="0"/>
        <w:snapToGrid w:val="0"/>
        <w:spacing w:line="360" w:lineRule="auto"/>
        <w:ind w:firstLine="482"/>
        <w:textAlignment w:val="baseline"/>
        <w:rPr>
          <w:rFonts w:hint="default" w:ascii="宋体" w:hAnsi="宋体" w:eastAsia="宋体"/>
          <w:color w:val="000000" w:themeColor="text1"/>
          <w:kern w:val="0"/>
          <w:sz w:val="24"/>
          <w:lang w:val="en-US" w:eastAsia="zh-CN"/>
          <w14:textFill>
            <w14:solidFill>
              <w14:schemeClr w14:val="tx1"/>
            </w14:solidFill>
          </w14:textFill>
        </w:rPr>
      </w:pPr>
      <w:r>
        <w:rPr>
          <w:rFonts w:hint="eastAsia" w:ascii="宋体" w:hAnsi="宋体" w:eastAsia="宋体"/>
          <w:color w:val="000000" w:themeColor="text1"/>
          <w:kern w:val="0"/>
          <w:sz w:val="24"/>
          <w:lang w:val="en-US" w:eastAsia="zh-CN"/>
          <w14:textFill>
            <w14:solidFill>
              <w14:schemeClr w14:val="tx1"/>
            </w14:solidFill>
          </w14:textFill>
        </w:rPr>
        <w:t>4.3 实施审核</w:t>
      </w:r>
      <w:r>
        <w:rPr>
          <w:rFonts w:hint="eastAsia" w:ascii="Times New Roman" w:hAnsi="Times New Roman" w:eastAsia="宋体"/>
          <w:color w:val="000000" w:themeColor="text1"/>
          <w:kern w:val="0"/>
          <w:sz w:val="24"/>
          <w:lang w:val="en-US" w:eastAsia="zh-CN"/>
          <w14:textFill>
            <w14:solidFill>
              <w14:schemeClr w14:val="tx1"/>
            </w14:solidFill>
          </w14:textFill>
        </w:rPr>
        <w:t>--------------------------------------------------------------------------------------------</w:t>
      </w: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t>7</w:t>
      </w:r>
    </w:p>
    <w:p w14:paraId="27DFE360">
      <w:pPr>
        <w:keepNext w:val="0"/>
        <w:keepLines w:val="0"/>
        <w:pageBreakBefore w:val="0"/>
        <w:widowControl/>
        <w:kinsoku w:val="0"/>
        <w:wordWrap/>
        <w:overflowPunct/>
        <w:topLinePunct w:val="0"/>
        <w:autoSpaceDE w:val="0"/>
        <w:autoSpaceDN w:val="0"/>
        <w:bidi w:val="0"/>
        <w:adjustRightInd w:val="0"/>
        <w:snapToGrid w:val="0"/>
        <w:spacing w:line="360" w:lineRule="auto"/>
        <w:ind w:firstLine="482"/>
        <w:textAlignment w:val="baseline"/>
        <w:rPr>
          <w:rFonts w:hint="default" w:ascii="宋体" w:hAnsi="宋体" w:eastAsia="宋体"/>
          <w:color w:val="000000" w:themeColor="text1"/>
          <w:kern w:val="0"/>
          <w:sz w:val="24"/>
          <w:lang w:val="en-US" w:eastAsia="zh-CN"/>
          <w14:textFill>
            <w14:solidFill>
              <w14:schemeClr w14:val="tx1"/>
            </w14:solidFill>
          </w14:textFill>
        </w:rPr>
      </w:pPr>
      <w:r>
        <w:rPr>
          <w:rFonts w:hint="eastAsia" w:ascii="宋体" w:hAnsi="宋体" w:eastAsia="宋体"/>
          <w:color w:val="000000" w:themeColor="text1"/>
          <w:kern w:val="0"/>
          <w:sz w:val="24"/>
          <w:lang w:val="en-US" w:eastAsia="zh-CN"/>
          <w14:textFill>
            <w14:solidFill>
              <w14:schemeClr w14:val="tx1"/>
            </w14:solidFill>
          </w14:textFill>
        </w:rPr>
        <w:t>4.4 审核报告</w:t>
      </w:r>
      <w:r>
        <w:rPr>
          <w:rFonts w:hint="eastAsia" w:ascii="Times New Roman" w:hAnsi="Times New Roman" w:eastAsia="宋体"/>
          <w:color w:val="000000" w:themeColor="text1"/>
          <w:kern w:val="0"/>
          <w:sz w:val="24"/>
          <w:lang w:val="en-US" w:eastAsia="zh-CN"/>
          <w14:textFill>
            <w14:solidFill>
              <w14:schemeClr w14:val="tx1"/>
            </w14:solidFill>
          </w14:textFill>
        </w:rPr>
        <w:t>--------------------------------------------------------------------------------------------</w:t>
      </w: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t>9</w:t>
      </w:r>
    </w:p>
    <w:p w14:paraId="6F968084">
      <w:pPr>
        <w:keepNext w:val="0"/>
        <w:keepLines w:val="0"/>
        <w:pageBreakBefore w:val="0"/>
        <w:widowControl/>
        <w:kinsoku w:val="0"/>
        <w:wordWrap/>
        <w:overflowPunct/>
        <w:topLinePunct w:val="0"/>
        <w:autoSpaceDE w:val="0"/>
        <w:autoSpaceDN w:val="0"/>
        <w:bidi w:val="0"/>
        <w:adjustRightInd w:val="0"/>
        <w:snapToGrid w:val="0"/>
        <w:spacing w:line="360" w:lineRule="auto"/>
        <w:ind w:firstLine="482"/>
        <w:textAlignment w:val="baseline"/>
        <w:rPr>
          <w:rFonts w:hint="default" w:ascii="Times New Roman" w:hAnsi="Times New Roman" w:eastAsia="宋体"/>
          <w:color w:val="000000" w:themeColor="text1"/>
          <w:kern w:val="0"/>
          <w:sz w:val="24"/>
          <w:lang w:val="en-US" w:eastAsia="zh-CN"/>
          <w14:textFill>
            <w14:solidFill>
              <w14:schemeClr w14:val="tx1"/>
            </w14:solidFill>
          </w14:textFill>
        </w:rPr>
      </w:pPr>
      <w:r>
        <w:rPr>
          <w:rFonts w:hint="eastAsia" w:ascii="宋体" w:hAnsi="宋体" w:eastAsia="宋体"/>
          <w:color w:val="000000" w:themeColor="text1"/>
          <w:kern w:val="0"/>
          <w:sz w:val="24"/>
          <w:lang w:val="en-US" w:eastAsia="zh-CN"/>
          <w14:textFill>
            <w14:solidFill>
              <w14:schemeClr w14:val="tx1"/>
            </w14:solidFill>
          </w14:textFill>
        </w:rPr>
        <w:t xml:space="preserve">4.5 </w:t>
      </w:r>
      <w:r>
        <w:rPr>
          <w:rFonts w:hint="eastAsia" w:ascii="宋体" w:hAnsi="宋体" w:eastAsia="宋体" w:cs="宋体"/>
          <w:color w:val="000000" w:themeColor="text1"/>
          <w:spacing w:val="-9"/>
          <w:sz w:val="24"/>
          <w:szCs w:val="24"/>
          <w14:textFill>
            <w14:solidFill>
              <w14:schemeClr w14:val="tx1"/>
            </w14:solidFill>
          </w14:textFill>
        </w:rPr>
        <w:t>不符合项的纠正和纠正措施及其结果的验证</w:t>
      </w:r>
      <w:r>
        <w:rPr>
          <w:rFonts w:hint="eastAsia" w:ascii="Times New Roman" w:hAnsi="Times New Roman" w:eastAsia="宋体"/>
          <w:color w:val="000000" w:themeColor="text1"/>
          <w:kern w:val="0"/>
          <w:sz w:val="24"/>
          <w:lang w:val="en-US" w:eastAsia="zh-CN"/>
          <w14:textFill>
            <w14:solidFill>
              <w14:schemeClr w14:val="tx1"/>
            </w14:solidFill>
          </w14:textFill>
        </w:rPr>
        <w:t>--------------------------------------------------</w:t>
      </w: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t>10</w:t>
      </w:r>
    </w:p>
    <w:p w14:paraId="5B5C1149">
      <w:pPr>
        <w:keepNext w:val="0"/>
        <w:keepLines w:val="0"/>
        <w:pageBreakBefore w:val="0"/>
        <w:widowControl/>
        <w:kinsoku w:val="0"/>
        <w:wordWrap/>
        <w:overflowPunct/>
        <w:topLinePunct w:val="0"/>
        <w:autoSpaceDE w:val="0"/>
        <w:autoSpaceDN w:val="0"/>
        <w:bidi w:val="0"/>
        <w:adjustRightInd w:val="0"/>
        <w:snapToGrid w:val="0"/>
        <w:spacing w:line="360" w:lineRule="auto"/>
        <w:ind w:firstLine="482"/>
        <w:textAlignment w:val="baseline"/>
        <w:rPr>
          <w:rFonts w:hint="default" w:ascii="Times New Roman" w:hAnsi="Times New Roman" w:eastAsia="宋体"/>
          <w:color w:val="000000" w:themeColor="text1"/>
          <w:kern w:val="0"/>
          <w:sz w:val="24"/>
          <w:lang w:val="en-US" w:eastAsia="zh-CN"/>
          <w14:textFill>
            <w14:solidFill>
              <w14:schemeClr w14:val="tx1"/>
            </w14:solidFill>
          </w14:textFill>
        </w:rPr>
      </w:pPr>
      <w:r>
        <w:rPr>
          <w:rFonts w:hint="eastAsia" w:ascii="Times New Roman" w:hAnsi="Times New Roman" w:eastAsia="宋体"/>
          <w:color w:val="000000" w:themeColor="text1"/>
          <w:kern w:val="0"/>
          <w:sz w:val="24"/>
          <w:lang w:val="en-US" w:eastAsia="zh-CN"/>
          <w14:textFill>
            <w14:solidFill>
              <w14:schemeClr w14:val="tx1"/>
            </w14:solidFill>
          </w14:textFill>
        </w:rPr>
        <w:t>4.6 认证决定--------------------------------------------------------------------------------------------</w:t>
      </w: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t>10</w:t>
      </w:r>
    </w:p>
    <w:p w14:paraId="758C4F5B">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eastAsia="宋体"/>
          <w:color w:val="000000" w:themeColor="text1"/>
          <w:sz w:val="24"/>
          <w:lang w:val="en-US" w:eastAsia="zh-CN"/>
          <w14:textFill>
            <w14:solidFill>
              <w14:schemeClr w14:val="tx1"/>
            </w14:solidFill>
          </w14:textFill>
        </w:rPr>
      </w:pP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fldChar w:fldCharType="begin"/>
      </w: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instrText xml:space="preserve"> HYPERLINK \l _Toc516 </w:instrText>
      </w: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fldChar w:fldCharType="separate"/>
      </w: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t>5 监督审核程序----------------------------------------------------------------------------------------------1</w:t>
      </w: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fldChar w:fldCharType="end"/>
      </w: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t>1</w:t>
      </w:r>
    </w:p>
    <w:p w14:paraId="51E6BBD6">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b w:val="0"/>
          <w:bCs w:val="0"/>
          <w:color w:val="000000" w:themeColor="text1"/>
          <w:kern w:val="0"/>
          <w:sz w:val="24"/>
          <w:lang w:val="en-US" w:eastAsia="zh-CN"/>
          <w14:textFill>
            <w14:solidFill>
              <w14:schemeClr w14:val="tx1"/>
            </w14:solidFill>
          </w14:textFill>
        </w:rPr>
      </w:pPr>
      <w:r>
        <w:rPr>
          <w:rFonts w:ascii="宋体" w:hAnsi="宋体"/>
          <w:color w:val="000000" w:themeColor="text1"/>
          <w:kern w:val="0"/>
          <w:sz w:val="24"/>
          <w14:textFill>
            <w14:solidFill>
              <w14:schemeClr w14:val="tx1"/>
            </w14:solidFill>
          </w14:textFill>
        </w:rPr>
        <w:fldChar w:fldCharType="begin"/>
      </w:r>
      <w:r>
        <w:rPr>
          <w:rFonts w:ascii="宋体" w:hAnsi="宋体"/>
          <w:color w:val="000000" w:themeColor="text1"/>
          <w:kern w:val="0"/>
          <w:sz w:val="24"/>
          <w14:textFill>
            <w14:solidFill>
              <w14:schemeClr w14:val="tx1"/>
            </w14:solidFill>
          </w14:textFill>
        </w:rPr>
        <w:instrText xml:space="preserve"> HYPERLINK \l _Toc3587 </w:instrText>
      </w:r>
      <w:r>
        <w:rPr>
          <w:rFonts w:ascii="宋体" w:hAnsi="宋体"/>
          <w:color w:val="000000" w:themeColor="text1"/>
          <w:kern w:val="0"/>
          <w:sz w:val="24"/>
          <w14:textFill>
            <w14:solidFill>
              <w14:schemeClr w14:val="tx1"/>
            </w14:solidFill>
          </w14:textFill>
        </w:rPr>
        <w:fldChar w:fldCharType="separate"/>
      </w:r>
      <w:r>
        <w:rPr>
          <w:rFonts w:hint="eastAsia" w:ascii="Times New Roman" w:hAnsi="Times New Roman" w:eastAsia="宋体"/>
          <w:color w:val="000000" w:themeColor="text1"/>
          <w:kern w:val="0"/>
          <w:sz w:val="24"/>
          <w:lang w:val="en-US" w:eastAsia="zh-CN"/>
          <w14:textFill>
            <w14:solidFill>
              <w14:schemeClr w14:val="tx1"/>
            </w14:solidFill>
          </w14:textFill>
        </w:rPr>
        <w:t>6 再认证程序-------------------------------------------------------------------------------------------------1</w:t>
      </w:r>
      <w:r>
        <w:rPr>
          <w:rFonts w:ascii="宋体" w:hAnsi="宋体"/>
          <w:color w:val="000000" w:themeColor="text1"/>
          <w:kern w:val="0"/>
          <w:sz w:val="24"/>
          <w14:textFill>
            <w14:solidFill>
              <w14:schemeClr w14:val="tx1"/>
            </w14:solidFill>
          </w14:textFill>
        </w:rPr>
        <w:fldChar w:fldCharType="end"/>
      </w:r>
      <w:r>
        <w:rPr>
          <w:rFonts w:hint="eastAsia" w:ascii="宋体" w:hAnsi="宋体" w:eastAsia="宋体"/>
          <w:color w:val="000000" w:themeColor="text1"/>
          <w:kern w:val="0"/>
          <w:sz w:val="24"/>
          <w:lang w:val="en-US" w:eastAsia="zh-CN"/>
          <w14:textFill>
            <w14:solidFill>
              <w14:schemeClr w14:val="tx1"/>
            </w14:solidFill>
          </w14:textFill>
        </w:rPr>
        <w:t>2</w:t>
      </w:r>
    </w:p>
    <w:p w14:paraId="72EF8FBC">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olor w:val="000000" w:themeColor="text1"/>
          <w:kern w:val="0"/>
          <w:sz w:val="24"/>
          <w:lang w:val="en-US" w:eastAsia="zh-CN"/>
          <w14:textFill>
            <w14:solidFill>
              <w14:schemeClr w14:val="tx1"/>
            </w14:solidFill>
          </w14:textFill>
        </w:rPr>
      </w:pPr>
      <w:r>
        <w:rPr>
          <w:rFonts w:hint="eastAsia" w:ascii="宋体" w:hAnsi="宋体" w:eastAsia="宋体"/>
          <w:color w:val="000000" w:themeColor="text1"/>
          <w:kern w:val="0"/>
          <w:sz w:val="24"/>
          <w:lang w:val="en-US" w:eastAsia="zh-CN"/>
          <w14:textFill>
            <w14:solidFill>
              <w14:schemeClr w14:val="tx1"/>
            </w14:solidFill>
          </w14:textFill>
        </w:rPr>
        <w:t>7</w:t>
      </w:r>
      <w:r>
        <w:rPr>
          <w:rFonts w:ascii="宋体" w:hAnsi="宋体"/>
          <w:color w:val="000000" w:themeColor="text1"/>
          <w:kern w:val="0"/>
          <w:sz w:val="24"/>
          <w14:textFill>
            <w14:solidFill>
              <w14:schemeClr w14:val="tx1"/>
            </w14:solidFill>
          </w14:textFill>
        </w:rPr>
        <w:fldChar w:fldCharType="begin"/>
      </w:r>
      <w:r>
        <w:rPr>
          <w:rFonts w:ascii="宋体" w:hAnsi="宋体"/>
          <w:color w:val="000000" w:themeColor="text1"/>
          <w:kern w:val="0"/>
          <w:sz w:val="24"/>
          <w14:textFill>
            <w14:solidFill>
              <w14:schemeClr w14:val="tx1"/>
            </w14:solidFill>
          </w14:textFill>
        </w:rPr>
        <w:instrText xml:space="preserve"> HYPERLINK \l _Toc3077 </w:instrText>
      </w:r>
      <w:r>
        <w:rPr>
          <w:rFonts w:ascii="宋体" w:hAnsi="宋体"/>
          <w:color w:val="000000" w:themeColor="text1"/>
          <w:kern w:val="0"/>
          <w:sz w:val="24"/>
          <w14:textFill>
            <w14:solidFill>
              <w14:schemeClr w14:val="tx1"/>
            </w14:solidFill>
          </w14:textFill>
        </w:rPr>
        <w:fldChar w:fldCharType="separate"/>
      </w:r>
      <w:r>
        <w:rPr>
          <w:rFonts w:hint="eastAsia" w:ascii="Times New Roman" w:hAnsi="Times New Roman" w:eastAsia="宋体"/>
          <w:color w:val="000000" w:themeColor="text1"/>
          <w:sz w:val="24"/>
          <w:lang w:val="en-US" w:eastAsia="zh-CN"/>
          <w14:textFill>
            <w14:solidFill>
              <w14:schemeClr w14:val="tx1"/>
            </w14:solidFill>
          </w14:textFill>
        </w:rPr>
        <w:t xml:space="preserve"> </w:t>
      </w:r>
      <w:r>
        <w:rPr>
          <w:rFonts w:hint="eastAsia" w:ascii="Times New Roman" w:hAnsi="宋体" w:eastAsia="宋体"/>
          <w:color w:val="000000" w:themeColor="text1"/>
          <w:sz w:val="24"/>
          <w:lang w:val="en-US" w:eastAsia="zh-CN"/>
          <w14:textFill>
            <w14:solidFill>
              <w14:schemeClr w14:val="tx1"/>
            </w14:solidFill>
          </w14:textFill>
        </w:rPr>
        <w:t>暂停或撤销认证证书</w:t>
      </w:r>
      <w:r>
        <w:rPr>
          <w:rFonts w:hint="eastAsia" w:ascii="Times New Roman" w:hAnsi="Times New Roman" w:eastAsia="宋体"/>
          <w:color w:val="000000" w:themeColor="text1"/>
          <w:kern w:val="0"/>
          <w:sz w:val="24"/>
          <w:lang w:val="en-US" w:eastAsia="zh-CN"/>
          <w14:textFill>
            <w14:solidFill>
              <w14:schemeClr w14:val="tx1"/>
            </w14:solidFill>
          </w14:textFill>
        </w:rPr>
        <w:t>-------------------------------------------------------------------------------------</w:t>
      </w:r>
      <w:r>
        <w:rPr>
          <w:rFonts w:hint="eastAsia" w:eastAsia="宋体"/>
          <w:color w:val="000000" w:themeColor="text1"/>
          <w:sz w:val="24"/>
          <w:lang w:val="en-US" w:eastAsia="zh-CN"/>
          <w14:textFill>
            <w14:solidFill>
              <w14:schemeClr w14:val="tx1"/>
            </w14:solidFill>
          </w14:textFill>
        </w:rPr>
        <w:t>1</w:t>
      </w:r>
      <w:r>
        <w:rPr>
          <w:rFonts w:ascii="宋体" w:hAnsi="宋体"/>
          <w:color w:val="000000" w:themeColor="text1"/>
          <w:kern w:val="0"/>
          <w:sz w:val="24"/>
          <w14:textFill>
            <w14:solidFill>
              <w14:schemeClr w14:val="tx1"/>
            </w14:solidFill>
          </w14:textFill>
        </w:rPr>
        <w:fldChar w:fldCharType="end"/>
      </w:r>
      <w:r>
        <w:rPr>
          <w:rFonts w:hint="eastAsia" w:ascii="宋体" w:hAnsi="宋体" w:eastAsia="宋体"/>
          <w:color w:val="000000" w:themeColor="text1"/>
          <w:kern w:val="0"/>
          <w:sz w:val="24"/>
          <w:lang w:val="en-US" w:eastAsia="zh-CN"/>
          <w14:textFill>
            <w14:solidFill>
              <w14:schemeClr w14:val="tx1"/>
            </w14:solidFill>
          </w14:textFill>
        </w:rPr>
        <w:t>2</w:t>
      </w:r>
    </w:p>
    <w:p w14:paraId="71D4FCD5">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olor w:val="000000" w:themeColor="text1"/>
          <w:kern w:val="0"/>
          <w:sz w:val="24"/>
          <w:lang w:val="en-US" w:eastAsia="zh-CN"/>
          <w14:textFill>
            <w14:solidFill>
              <w14:schemeClr w14:val="tx1"/>
            </w14:solidFill>
          </w14:textFill>
        </w:rPr>
      </w:pPr>
      <w:r>
        <w:rPr>
          <w:rFonts w:ascii="宋体" w:hAnsi="宋体"/>
          <w:color w:val="000000" w:themeColor="text1"/>
          <w:kern w:val="0"/>
          <w:sz w:val="24"/>
          <w14:textFill>
            <w14:solidFill>
              <w14:schemeClr w14:val="tx1"/>
            </w14:solidFill>
          </w14:textFill>
        </w:rPr>
        <w:fldChar w:fldCharType="begin"/>
      </w:r>
      <w:r>
        <w:rPr>
          <w:rFonts w:ascii="宋体" w:hAnsi="宋体"/>
          <w:color w:val="000000" w:themeColor="text1"/>
          <w:kern w:val="0"/>
          <w:sz w:val="24"/>
          <w14:textFill>
            <w14:solidFill>
              <w14:schemeClr w14:val="tx1"/>
            </w14:solidFill>
          </w14:textFill>
        </w:rPr>
        <w:instrText xml:space="preserve"> HYPERLINK \l _Toc2637 </w:instrText>
      </w:r>
      <w:r>
        <w:rPr>
          <w:rFonts w:ascii="宋体" w:hAnsi="宋体"/>
          <w:color w:val="000000" w:themeColor="text1"/>
          <w:kern w:val="0"/>
          <w:sz w:val="24"/>
          <w14:textFill>
            <w14:solidFill>
              <w14:schemeClr w14:val="tx1"/>
            </w14:solidFill>
          </w14:textFill>
        </w:rPr>
        <w:fldChar w:fldCharType="separate"/>
      </w:r>
      <w:r>
        <w:rPr>
          <w:rFonts w:hint="eastAsia" w:ascii="宋体" w:hAnsi="宋体" w:eastAsia="宋体" w:cs="宋体"/>
          <w:b w:val="0"/>
          <w:bCs w:val="0"/>
          <w:color w:val="000000" w:themeColor="text1"/>
          <w:spacing w:val="-9"/>
          <w:sz w:val="24"/>
          <w:szCs w:val="24"/>
          <w:lang w:val="en-US" w:eastAsia="zh-CN"/>
          <w14:textFill>
            <w14:solidFill>
              <w14:schemeClr w14:val="tx1"/>
            </w14:solidFill>
          </w14:textFill>
        </w:rPr>
        <w:t>8</w:t>
      </w:r>
      <w:r>
        <w:rPr>
          <w:rFonts w:hint="eastAsia" w:ascii="宋体" w:hAnsi="宋体" w:eastAsia="宋体" w:cs="宋体"/>
          <w:b w:val="0"/>
          <w:bCs w:val="0"/>
          <w:color w:val="000000" w:themeColor="text1"/>
          <w:spacing w:val="-9"/>
          <w:sz w:val="24"/>
          <w:szCs w:val="24"/>
          <w:lang w:eastAsia="zh-CN"/>
          <w14:textFill>
            <w14:solidFill>
              <w14:schemeClr w14:val="tx1"/>
            </w14:solidFill>
          </w14:textFill>
        </w:rPr>
        <w:t xml:space="preserve"> 认证证书要求</w:t>
      </w:r>
      <w:r>
        <w:rPr>
          <w:rFonts w:hint="eastAsia" w:ascii="Times New Roman" w:hAnsi="Times New Roman" w:eastAsia="宋体"/>
          <w:b w:val="0"/>
          <w:bCs w:val="0"/>
          <w:color w:val="000000" w:themeColor="text1"/>
          <w:kern w:val="0"/>
          <w:sz w:val="24"/>
          <w:lang w:val="en-US" w:eastAsia="zh-CN"/>
          <w14:textFill>
            <w14:solidFill>
              <w14:schemeClr w14:val="tx1"/>
            </w14:solidFill>
          </w14:textFill>
        </w:rPr>
        <w:t>-</w:t>
      </w:r>
      <w:r>
        <w:rPr>
          <w:rFonts w:hint="eastAsia" w:ascii="Times New Roman" w:hAnsi="Times New Roman" w:eastAsia="宋体"/>
          <w:color w:val="000000" w:themeColor="text1"/>
          <w:kern w:val="0"/>
          <w:sz w:val="24"/>
          <w:lang w:val="en-US" w:eastAsia="zh-CN"/>
          <w14:textFill>
            <w14:solidFill>
              <w14:schemeClr w14:val="tx1"/>
            </w14:solidFill>
          </w14:textFill>
        </w:rPr>
        <w:t>-----------------------------------------------------------------------------------------------</w:t>
      </w:r>
      <w:r>
        <w:rPr>
          <w:rFonts w:hint="eastAsia" w:eastAsia="宋体"/>
          <w:color w:val="000000" w:themeColor="text1"/>
          <w:sz w:val="24"/>
          <w:lang w:val="en-US" w:eastAsia="zh-CN"/>
          <w14:textFill>
            <w14:solidFill>
              <w14:schemeClr w14:val="tx1"/>
            </w14:solidFill>
          </w14:textFill>
        </w:rPr>
        <w:t>1</w:t>
      </w:r>
      <w:r>
        <w:rPr>
          <w:rFonts w:ascii="宋体" w:hAnsi="宋体"/>
          <w:color w:val="000000" w:themeColor="text1"/>
          <w:kern w:val="0"/>
          <w:sz w:val="24"/>
          <w14:textFill>
            <w14:solidFill>
              <w14:schemeClr w14:val="tx1"/>
            </w14:solidFill>
          </w14:textFill>
        </w:rPr>
        <w:fldChar w:fldCharType="end"/>
      </w:r>
      <w:r>
        <w:rPr>
          <w:rFonts w:hint="eastAsia" w:ascii="宋体" w:hAnsi="宋体" w:eastAsia="宋体"/>
          <w:color w:val="000000" w:themeColor="text1"/>
          <w:kern w:val="0"/>
          <w:sz w:val="24"/>
          <w:lang w:val="en-US" w:eastAsia="zh-CN"/>
          <w14:textFill>
            <w14:solidFill>
              <w14:schemeClr w14:val="tx1"/>
            </w14:solidFill>
          </w14:textFill>
        </w:rPr>
        <w:t>3</w:t>
      </w:r>
    </w:p>
    <w:p w14:paraId="52E9E2CD">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eastAsia="宋体"/>
          <w:color w:val="000000" w:themeColor="text1"/>
          <w:sz w:val="24"/>
          <w:lang w:val="en-US" w:eastAsia="zh-CN"/>
          <w14:textFill>
            <w14:solidFill>
              <w14:schemeClr w14:val="tx1"/>
            </w14:solidFill>
          </w14:textFill>
        </w:rPr>
      </w:pPr>
      <w:r>
        <w:rPr>
          <w:rFonts w:ascii="宋体" w:hAnsi="宋体"/>
          <w:color w:val="000000" w:themeColor="text1"/>
          <w:kern w:val="0"/>
          <w:sz w:val="24"/>
          <w14:textFill>
            <w14:solidFill>
              <w14:schemeClr w14:val="tx1"/>
            </w14:solidFill>
          </w14:textFill>
        </w:rPr>
        <w:fldChar w:fldCharType="begin"/>
      </w:r>
      <w:r>
        <w:rPr>
          <w:rFonts w:ascii="宋体" w:hAnsi="宋体"/>
          <w:color w:val="000000" w:themeColor="text1"/>
          <w:kern w:val="0"/>
          <w:sz w:val="24"/>
          <w14:textFill>
            <w14:solidFill>
              <w14:schemeClr w14:val="tx1"/>
            </w14:solidFill>
          </w14:textFill>
        </w:rPr>
        <w:instrText xml:space="preserve"> HYPERLINK \l _Toc30746 </w:instrText>
      </w:r>
      <w:r>
        <w:rPr>
          <w:rFonts w:ascii="宋体" w:hAnsi="宋体"/>
          <w:color w:val="000000" w:themeColor="text1"/>
          <w:kern w:val="0"/>
          <w:sz w:val="24"/>
          <w14:textFill>
            <w14:solidFill>
              <w14:schemeClr w14:val="tx1"/>
            </w14:solidFill>
          </w14:textFill>
        </w:rPr>
        <w:fldChar w:fldCharType="separate"/>
      </w:r>
      <w:r>
        <w:rPr>
          <w:rFonts w:hint="eastAsia" w:ascii="Times New Roman" w:hAnsi="Times New Roman" w:eastAsia="宋体"/>
          <w:snapToGrid w:val="0"/>
          <w:color w:val="000000" w:themeColor="text1"/>
          <w:kern w:val="0"/>
          <w:sz w:val="24"/>
          <w:lang w:val="en-US" w:eastAsia="zh-CN"/>
          <w14:textFill>
            <w14:solidFill>
              <w14:schemeClr w14:val="tx1"/>
            </w14:solidFill>
          </w14:textFill>
        </w:rPr>
        <w:t xml:space="preserve">9 </w:t>
      </w:r>
      <w:r>
        <w:rPr>
          <w:rFonts w:hint="eastAsia" w:ascii="Times New Roman" w:hAnsi="宋体" w:eastAsia="宋体"/>
          <w:color w:val="000000" w:themeColor="text1"/>
          <w:kern w:val="0"/>
          <w:sz w:val="24"/>
          <w:lang w:val="en-US" w:eastAsia="zh-CN"/>
          <w14:textFill>
            <w14:solidFill>
              <w14:schemeClr w14:val="tx1"/>
            </w14:solidFill>
          </w14:textFill>
        </w:rPr>
        <w:t>与其他管理体系的结合审核</w:t>
      </w:r>
      <w:r>
        <w:rPr>
          <w:rFonts w:hint="eastAsia" w:ascii="Times New Roman" w:hAnsi="Times New Roman" w:eastAsia="宋体"/>
          <w:color w:val="000000" w:themeColor="text1"/>
          <w:kern w:val="0"/>
          <w:sz w:val="24"/>
          <w:lang w:val="en-US" w:eastAsia="zh-CN"/>
          <w14:textFill>
            <w14:solidFill>
              <w14:schemeClr w14:val="tx1"/>
            </w14:solidFill>
          </w14:textFill>
        </w:rPr>
        <w:t>----------------------------------------------------------------------------</w:t>
      </w:r>
      <w:r>
        <w:rPr>
          <w:rFonts w:hint="eastAsia" w:eastAsia="宋体"/>
          <w:color w:val="000000" w:themeColor="text1"/>
          <w:sz w:val="24"/>
          <w:lang w:val="en-US" w:eastAsia="zh-CN"/>
          <w14:textFill>
            <w14:solidFill>
              <w14:schemeClr w14:val="tx1"/>
            </w14:solidFill>
          </w14:textFill>
        </w:rPr>
        <w:t>1</w:t>
      </w:r>
      <w:r>
        <w:rPr>
          <w:rFonts w:ascii="宋体" w:hAnsi="宋体"/>
          <w:color w:val="000000" w:themeColor="text1"/>
          <w:kern w:val="0"/>
          <w:sz w:val="24"/>
          <w14:textFill>
            <w14:solidFill>
              <w14:schemeClr w14:val="tx1"/>
            </w14:solidFill>
          </w14:textFill>
        </w:rPr>
        <w:fldChar w:fldCharType="end"/>
      </w:r>
      <w:r>
        <w:rPr>
          <w:rFonts w:hint="eastAsia" w:ascii="宋体" w:hAnsi="宋体" w:eastAsia="宋体"/>
          <w:color w:val="000000" w:themeColor="text1"/>
          <w:kern w:val="0"/>
          <w:sz w:val="24"/>
          <w:lang w:val="en-US" w:eastAsia="zh-CN"/>
          <w14:textFill>
            <w14:solidFill>
              <w14:schemeClr w14:val="tx1"/>
            </w14:solidFill>
          </w14:textFill>
        </w:rPr>
        <w:t>4</w:t>
      </w:r>
    </w:p>
    <w:p w14:paraId="73D9ABC8">
      <w:pPr>
        <w:keepNext w:val="0"/>
        <w:keepLines w:val="0"/>
        <w:pageBreakBefore w:val="0"/>
        <w:widowControl/>
        <w:kinsoku w:val="0"/>
        <w:wordWrap/>
        <w:overflowPunct/>
        <w:topLinePunct w:val="0"/>
        <w:autoSpaceDE w:val="0"/>
        <w:autoSpaceDN w:val="0"/>
        <w:bidi w:val="0"/>
        <w:adjustRightInd w:val="0"/>
        <w:snapToGrid w:val="0"/>
        <w:spacing w:before="79" w:line="360" w:lineRule="auto"/>
        <w:ind w:right="212"/>
        <w:textAlignment w:val="baseline"/>
        <w:rPr>
          <w:rFonts w:hint="eastAsia" w:ascii="宋体" w:hAnsi="宋体" w:eastAsia="宋体"/>
          <w:color w:val="000000" w:themeColor="text1"/>
          <w:kern w:val="0"/>
          <w:sz w:val="24"/>
          <w:lang w:val="en-US" w:eastAsia="zh-CN"/>
          <w14:textFill>
            <w14:solidFill>
              <w14:schemeClr w14:val="tx1"/>
            </w14:solidFill>
          </w14:textFill>
        </w:rPr>
      </w:pPr>
      <w:r>
        <w:rPr>
          <w:rFonts w:ascii="宋体" w:hAnsi="宋体"/>
          <w:color w:val="000000" w:themeColor="text1"/>
          <w:kern w:val="0"/>
          <w:sz w:val="24"/>
          <w14:textFill>
            <w14:solidFill>
              <w14:schemeClr w14:val="tx1"/>
            </w14:solidFill>
          </w14:textFill>
        </w:rPr>
        <w:fldChar w:fldCharType="begin"/>
      </w:r>
      <w:r>
        <w:rPr>
          <w:rFonts w:ascii="宋体" w:hAnsi="宋体"/>
          <w:color w:val="000000" w:themeColor="text1"/>
          <w:kern w:val="0"/>
          <w:sz w:val="24"/>
          <w14:textFill>
            <w14:solidFill>
              <w14:schemeClr w14:val="tx1"/>
            </w14:solidFill>
          </w14:textFill>
        </w:rPr>
        <w:instrText xml:space="preserve"> HYPERLINK \l _Toc27527 </w:instrText>
      </w:r>
      <w:r>
        <w:rPr>
          <w:rFonts w:ascii="宋体" w:hAnsi="宋体"/>
          <w:color w:val="000000" w:themeColor="text1"/>
          <w:kern w:val="0"/>
          <w:sz w:val="24"/>
          <w14:textFill>
            <w14:solidFill>
              <w14:schemeClr w14:val="tx1"/>
            </w14:solidFill>
          </w14:textFill>
        </w:rPr>
        <w:fldChar w:fldCharType="separate"/>
      </w:r>
      <w:r>
        <w:rPr>
          <w:rFonts w:hint="eastAsia" w:ascii="Times New Roman" w:hAnsi="Times New Roman" w:eastAsia="宋体"/>
          <w:snapToGrid w:val="0"/>
          <w:color w:val="000000" w:themeColor="text1"/>
          <w:kern w:val="0"/>
          <w:sz w:val="24"/>
          <w:lang w:val="en-US" w:eastAsia="zh-CN"/>
          <w14:textFill>
            <w14:solidFill>
              <w14:schemeClr w14:val="tx1"/>
            </w14:solidFill>
          </w14:textFill>
        </w:rPr>
        <w:t xml:space="preserve">10 </w:t>
      </w:r>
      <w:r>
        <w:rPr>
          <w:rFonts w:hint="eastAsia" w:ascii="宋体" w:hAnsi="宋体" w:eastAsia="宋体" w:cs="宋体"/>
          <w:b w:val="0"/>
          <w:bCs w:val="0"/>
          <w:color w:val="000000" w:themeColor="text1"/>
          <w:spacing w:val="-9"/>
          <w:sz w:val="24"/>
          <w:szCs w:val="24"/>
          <w:lang w:eastAsia="zh-CN"/>
          <w14:textFill>
            <w14:solidFill>
              <w14:schemeClr w14:val="tx1"/>
            </w14:solidFill>
          </w14:textFill>
        </w:rPr>
        <w:t>受理转换认证证书</w:t>
      </w:r>
      <w:r>
        <w:rPr>
          <w:rFonts w:hint="eastAsia" w:ascii="Times New Roman" w:hAnsi="Times New Roman" w:eastAsia="宋体"/>
          <w:b w:val="0"/>
          <w:bCs w:val="0"/>
          <w:color w:val="000000" w:themeColor="text1"/>
          <w:kern w:val="0"/>
          <w:sz w:val="24"/>
          <w:lang w:val="en-US" w:eastAsia="zh-CN"/>
          <w14:textFill>
            <w14:solidFill>
              <w14:schemeClr w14:val="tx1"/>
            </w14:solidFill>
          </w14:textFill>
        </w:rPr>
        <w:t>-</w:t>
      </w:r>
      <w:r>
        <w:rPr>
          <w:rFonts w:hint="eastAsia" w:ascii="Times New Roman" w:hAnsi="Times New Roman" w:eastAsia="宋体"/>
          <w:color w:val="000000" w:themeColor="text1"/>
          <w:kern w:val="0"/>
          <w:sz w:val="24"/>
          <w:lang w:val="en-US" w:eastAsia="zh-CN"/>
          <w14:textFill>
            <w14:solidFill>
              <w14:schemeClr w14:val="tx1"/>
            </w14:solidFill>
          </w14:textFill>
        </w:rPr>
        <w:t>---------------------------------------------------------------------------------------</w:t>
      </w: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t>1</w:t>
      </w:r>
      <w:r>
        <w:rPr>
          <w:rFonts w:ascii="宋体" w:hAnsi="宋体"/>
          <w:color w:val="000000" w:themeColor="text1"/>
          <w:kern w:val="0"/>
          <w:sz w:val="24"/>
          <w14:textFill>
            <w14:solidFill>
              <w14:schemeClr w14:val="tx1"/>
            </w14:solidFill>
          </w14:textFill>
        </w:rPr>
        <w:fldChar w:fldCharType="end"/>
      </w:r>
      <w:r>
        <w:rPr>
          <w:rFonts w:hint="eastAsia" w:ascii="宋体" w:hAnsi="宋体" w:eastAsia="宋体"/>
          <w:color w:val="000000" w:themeColor="text1"/>
          <w:kern w:val="0"/>
          <w:sz w:val="24"/>
          <w:lang w:val="en-US" w:eastAsia="zh-CN"/>
          <w14:textFill>
            <w14:solidFill>
              <w14:schemeClr w14:val="tx1"/>
            </w14:solidFill>
          </w14:textFill>
        </w:rPr>
        <w:t>4</w:t>
      </w:r>
    </w:p>
    <w:p w14:paraId="55A38F83">
      <w:pPr>
        <w:keepNext w:val="0"/>
        <w:keepLines w:val="0"/>
        <w:pageBreakBefore w:val="0"/>
        <w:widowControl/>
        <w:kinsoku w:val="0"/>
        <w:wordWrap/>
        <w:overflowPunct/>
        <w:topLinePunct w:val="0"/>
        <w:autoSpaceDE w:val="0"/>
        <w:autoSpaceDN w:val="0"/>
        <w:bidi w:val="0"/>
        <w:adjustRightInd w:val="0"/>
        <w:snapToGrid w:val="0"/>
        <w:spacing w:before="79" w:line="360" w:lineRule="auto"/>
        <w:ind w:right="212"/>
        <w:textAlignment w:val="baseline"/>
        <w:rPr>
          <w:rFonts w:hint="default" w:ascii="宋体" w:hAnsi="宋体" w:eastAsia="宋体"/>
          <w:color w:val="000000" w:themeColor="text1"/>
          <w:kern w:val="0"/>
          <w:sz w:val="24"/>
          <w:lang w:val="en-US" w:eastAsia="zh-CN"/>
          <w14:textFill>
            <w14:solidFill>
              <w14:schemeClr w14:val="tx1"/>
            </w14:solidFill>
          </w14:textFill>
        </w:rPr>
      </w:pPr>
      <w:r>
        <w:rPr>
          <w:rFonts w:hint="eastAsia" w:ascii="宋体" w:hAnsi="宋体" w:eastAsia="宋体"/>
          <w:color w:val="000000" w:themeColor="text1"/>
          <w:kern w:val="0"/>
          <w:sz w:val="24"/>
          <w:lang w:val="en-US" w:eastAsia="zh-CN"/>
          <w14:textFill>
            <w14:solidFill>
              <w14:schemeClr w14:val="tx1"/>
            </w14:solidFill>
          </w14:textFill>
        </w:rPr>
        <w:t>11 受理组织的申诉</w:t>
      </w:r>
      <w:r>
        <w:rPr>
          <w:rFonts w:hint="eastAsia" w:ascii="Times New Roman" w:hAnsi="Times New Roman" w:eastAsia="宋体"/>
          <w:color w:val="000000" w:themeColor="text1"/>
          <w:kern w:val="0"/>
          <w:sz w:val="24"/>
          <w:lang w:val="en-US" w:eastAsia="zh-CN"/>
          <w14:textFill>
            <w14:solidFill>
              <w14:schemeClr w14:val="tx1"/>
            </w14:solidFill>
          </w14:textFill>
        </w:rPr>
        <w:t>-----------------------------------------------------------------------------------------14</w:t>
      </w:r>
    </w:p>
    <w:p w14:paraId="5B14E1F0">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color w:val="000000" w:themeColor="text1"/>
          <w:lang w:val="en-US" w:eastAsia="zh-CN"/>
          <w14:textFill>
            <w14:solidFill>
              <w14:schemeClr w14:val="tx1"/>
            </w14:solidFill>
          </w14:textFill>
        </w:rPr>
      </w:pPr>
      <w:r>
        <w:rPr>
          <w:rFonts w:hint="eastAsia" w:ascii="宋体" w:hAnsi="宋体" w:eastAsia="宋体"/>
          <w:color w:val="000000" w:themeColor="text1"/>
          <w:kern w:val="0"/>
          <w:sz w:val="24"/>
          <w:lang w:val="en-US" w:eastAsia="zh-CN"/>
          <w14:textFill>
            <w14:solidFill>
              <w14:schemeClr w14:val="tx1"/>
            </w14:solidFill>
          </w14:textFill>
        </w:rPr>
        <w:t>12 认证记录的管理</w:t>
      </w:r>
      <w:r>
        <w:rPr>
          <w:rFonts w:hint="eastAsia" w:ascii="Times New Roman" w:hAnsi="Times New Roman" w:eastAsia="宋体"/>
          <w:color w:val="000000" w:themeColor="text1"/>
          <w:kern w:val="0"/>
          <w:sz w:val="24"/>
          <w:lang w:val="en-US" w:eastAsia="zh-CN"/>
          <w14:textFill>
            <w14:solidFill>
              <w14:schemeClr w14:val="tx1"/>
            </w14:solidFill>
          </w14:textFill>
        </w:rPr>
        <w:t>------------------------------------------------------------------------------------------15</w:t>
      </w:r>
    </w:p>
    <w:p w14:paraId="41A1A79C">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olor w:val="000000" w:themeColor="text1"/>
          <w:kern w:val="0"/>
          <w:sz w:val="24"/>
          <w:lang w:val="en-US" w:eastAsia="zh-CN"/>
          <w14:textFill>
            <w14:solidFill>
              <w14:schemeClr w14:val="tx1"/>
            </w14:solidFill>
          </w14:textFill>
        </w:rPr>
      </w:pPr>
      <w:r>
        <w:rPr>
          <w:rFonts w:ascii="宋体" w:hAnsi="宋体"/>
          <w:color w:val="000000" w:themeColor="text1"/>
          <w:kern w:val="0"/>
          <w:sz w:val="24"/>
          <w14:textFill>
            <w14:solidFill>
              <w14:schemeClr w14:val="tx1"/>
            </w14:solidFill>
          </w14:textFill>
        </w:rPr>
        <w:fldChar w:fldCharType="begin"/>
      </w:r>
      <w:r>
        <w:rPr>
          <w:rFonts w:ascii="宋体" w:hAnsi="宋体"/>
          <w:color w:val="000000" w:themeColor="text1"/>
          <w:kern w:val="0"/>
          <w:sz w:val="24"/>
          <w14:textFill>
            <w14:solidFill>
              <w14:schemeClr w14:val="tx1"/>
            </w14:solidFill>
          </w14:textFill>
        </w:rPr>
        <w:instrText xml:space="preserve"> HYPERLINK \l _Toc5921 </w:instrText>
      </w:r>
      <w:r>
        <w:rPr>
          <w:rFonts w:ascii="宋体" w:hAnsi="宋体"/>
          <w:color w:val="000000" w:themeColor="text1"/>
          <w:kern w:val="0"/>
          <w:sz w:val="24"/>
          <w14:textFill>
            <w14:solidFill>
              <w14:schemeClr w14:val="tx1"/>
            </w14:solidFill>
          </w14:textFill>
        </w:rPr>
        <w:fldChar w:fldCharType="separate"/>
      </w:r>
      <w:r>
        <w:rPr>
          <w:rFonts w:ascii="Times New Roman" w:hAnsi="Times New Roman"/>
          <w:snapToGrid w:val="0"/>
          <w:color w:val="000000" w:themeColor="text1"/>
          <w:kern w:val="0"/>
          <w:sz w:val="24"/>
          <w14:textFill>
            <w14:solidFill>
              <w14:schemeClr w14:val="tx1"/>
            </w14:solidFill>
          </w14:textFill>
        </w:rPr>
        <w:t>1</w:t>
      </w:r>
      <w:r>
        <w:rPr>
          <w:rFonts w:hint="eastAsia" w:ascii="Times New Roman" w:hAnsi="Times New Roman" w:eastAsia="宋体"/>
          <w:snapToGrid w:val="0"/>
          <w:color w:val="000000" w:themeColor="text1"/>
          <w:kern w:val="0"/>
          <w:sz w:val="24"/>
          <w:lang w:val="en-US" w:eastAsia="zh-CN"/>
          <w14:textFill>
            <w14:solidFill>
              <w14:schemeClr w14:val="tx1"/>
            </w14:solidFill>
          </w14:textFill>
        </w:rPr>
        <w:t>3 其他</w:t>
      </w:r>
      <w:r>
        <w:rPr>
          <w:rFonts w:hint="eastAsia" w:ascii="Times New Roman" w:hAnsi="Times New Roman" w:eastAsia="宋体"/>
          <w:color w:val="000000" w:themeColor="text1"/>
          <w:kern w:val="0"/>
          <w:sz w:val="24"/>
          <w:lang w:val="en-US" w:eastAsia="zh-CN"/>
          <w14:textFill>
            <w14:solidFill>
              <w14:schemeClr w14:val="tx1"/>
            </w14:solidFill>
          </w14:textFill>
        </w:rPr>
        <w:t>---------------------------------------------------------------------------------------------------------1</w:t>
      </w:r>
      <w:r>
        <w:rPr>
          <w:rFonts w:ascii="宋体" w:hAnsi="宋体"/>
          <w:color w:val="000000" w:themeColor="text1"/>
          <w:kern w:val="0"/>
          <w:sz w:val="24"/>
          <w14:textFill>
            <w14:solidFill>
              <w14:schemeClr w14:val="tx1"/>
            </w14:solidFill>
          </w14:textFill>
        </w:rPr>
        <w:fldChar w:fldCharType="end"/>
      </w:r>
      <w:r>
        <w:rPr>
          <w:rFonts w:hint="eastAsia" w:ascii="宋体" w:hAnsi="宋体" w:eastAsia="宋体"/>
          <w:color w:val="000000" w:themeColor="text1"/>
          <w:kern w:val="0"/>
          <w:sz w:val="24"/>
          <w:lang w:val="en-US" w:eastAsia="zh-CN"/>
          <w14:textFill>
            <w14:solidFill>
              <w14:schemeClr w14:val="tx1"/>
            </w14:solidFill>
          </w14:textFill>
        </w:rPr>
        <w:t>5</w:t>
      </w:r>
    </w:p>
    <w:p w14:paraId="30869DF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宋体" w:hAnsi="宋体" w:eastAsia="宋体"/>
          <w:color w:val="000000" w:themeColor="text1"/>
          <w:kern w:val="0"/>
          <w:sz w:val="24"/>
          <w:lang w:val="en-US" w:eastAsia="zh-CN"/>
          <w14:textFill>
            <w14:solidFill>
              <w14:schemeClr w14:val="tx1"/>
            </w14:solidFill>
          </w14:textFill>
        </w:rPr>
      </w:pPr>
      <w:r>
        <w:rPr>
          <w:rFonts w:hint="eastAsia" w:ascii="宋体" w:hAnsi="宋体" w:eastAsia="宋体"/>
          <w:color w:val="000000" w:themeColor="text1"/>
          <w:kern w:val="0"/>
          <w:sz w:val="24"/>
          <w:lang w:val="en-US" w:eastAsia="zh-CN"/>
          <w14:textFill>
            <w14:solidFill>
              <w14:schemeClr w14:val="tx1"/>
            </w14:solidFill>
          </w14:textFill>
        </w:rPr>
        <w:t>附录A:有害物质过程管理体系认证审核时间要求</w:t>
      </w:r>
      <w:r>
        <w:rPr>
          <w:rFonts w:hint="eastAsia" w:ascii="Times New Roman" w:hAnsi="Times New Roman" w:eastAsia="宋体"/>
          <w:color w:val="000000" w:themeColor="text1"/>
          <w:kern w:val="0"/>
          <w:sz w:val="24"/>
          <w:lang w:val="en-US" w:eastAsia="zh-CN"/>
          <w14:textFill>
            <w14:solidFill>
              <w14:schemeClr w14:val="tx1"/>
            </w14:solidFill>
          </w14:textFill>
        </w:rPr>
        <w:t>-----------------------------------------------------</w:t>
      </w:r>
      <w:r>
        <w:rPr>
          <w:rFonts w:hint="eastAsia" w:ascii="宋体" w:hAnsi="宋体" w:eastAsia="宋体"/>
          <w:color w:val="000000" w:themeColor="text1"/>
          <w:kern w:val="0"/>
          <w:sz w:val="24"/>
          <w:lang w:val="en-US" w:eastAsia="zh-CN"/>
          <w14:textFill>
            <w14:solidFill>
              <w14:schemeClr w14:val="tx1"/>
            </w14:solidFill>
          </w14:textFill>
        </w:rPr>
        <w:t>16</w:t>
      </w:r>
    </w:p>
    <w:p w14:paraId="0D38E2C8">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宋体" w:hAnsi="宋体" w:eastAsia="宋体"/>
          <w:color w:val="000000" w:themeColor="text1"/>
          <w:kern w:val="0"/>
          <w:sz w:val="24"/>
          <w:lang w:val="en-US" w:eastAsia="zh-CN"/>
          <w14:textFill>
            <w14:solidFill>
              <w14:schemeClr w14:val="tx1"/>
            </w14:solidFill>
          </w14:textFill>
        </w:rPr>
      </w:pPr>
    </w:p>
    <w:p w14:paraId="3BAF1C7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宋体" w:hAnsi="宋体" w:eastAsia="宋体"/>
          <w:color w:val="FF0000"/>
          <w:kern w:val="0"/>
          <w:sz w:val="24"/>
          <w:lang w:val="en-US" w:eastAsia="zh-CN"/>
        </w:rPr>
      </w:pPr>
    </w:p>
    <w:p w14:paraId="5353822E">
      <w:pPr>
        <w:rPr>
          <w:rFonts w:hint="default" w:eastAsia="宋体"/>
          <w:color w:val="FF0000"/>
          <w:lang w:val="en-US" w:eastAsia="zh-CN"/>
        </w:rPr>
      </w:pPr>
      <w:r>
        <w:rPr>
          <w:rFonts w:hint="eastAsia" w:ascii="微软雅黑" w:hAnsi="微软雅黑" w:eastAsia="微软雅黑" w:cs="微软雅黑"/>
          <w:color w:val="FF0000"/>
          <w:kern w:val="0"/>
          <w:sz w:val="24"/>
          <w:lang w:val="en-US" w:eastAsia="zh-CN"/>
        </w:rPr>
        <w:t xml:space="preserve"> </w:t>
      </w:r>
      <w:r>
        <w:rPr>
          <w:rFonts w:hint="eastAsia" w:ascii="宋体" w:hAnsi="宋体" w:eastAsia="宋体"/>
          <w:color w:val="FF0000"/>
          <w:kern w:val="0"/>
          <w:sz w:val="24"/>
          <w:lang w:val="en-US" w:eastAsia="zh-CN"/>
        </w:rPr>
        <w:t xml:space="preserve">    </w:t>
      </w:r>
      <w:r>
        <w:rPr>
          <w:color w:val="FF0000"/>
          <w:sz w:val="24"/>
        </w:rPr>
        <w:tab/>
      </w:r>
      <w:r>
        <w:rPr>
          <w:rFonts w:hint="eastAsia" w:ascii="宋体" w:hAnsi="宋体" w:eastAsia="宋体"/>
          <w:color w:val="FF0000"/>
          <w:kern w:val="0"/>
          <w:sz w:val="24"/>
          <w:lang w:val="en-US" w:eastAsia="zh-CN"/>
        </w:rPr>
        <w:t xml:space="preserve">       </w:t>
      </w:r>
    </w:p>
    <w:p w14:paraId="5CC1FEC0">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color w:val="FF0000"/>
        </w:rPr>
      </w:pPr>
      <w:r>
        <w:rPr>
          <w:rFonts w:hint="default" w:ascii="Arial" w:hAnsi="Arial" w:eastAsia="Arial" w:cs="Arial"/>
          <w:snapToGrid w:val="0"/>
          <w:color w:val="FF0000"/>
          <w:kern w:val="0"/>
          <w:sz w:val="24"/>
          <w:szCs w:val="24"/>
          <w:lang w:val="en-US" w:eastAsia="zh-CN" w:bidi="ar"/>
        </w:rPr>
        <w:tab/>
      </w:r>
      <w:r>
        <w:rPr>
          <w:color w:val="FF0000"/>
          <w:sz w:val="24"/>
        </w:rPr>
        <w:tab/>
      </w:r>
    </w:p>
    <w:p w14:paraId="0D0BA70D">
      <w:pPr>
        <w:rPr>
          <w:rFonts w:hint="default" w:eastAsia="宋体"/>
          <w:color w:val="FF0000"/>
          <w:lang w:val="en-US" w:eastAsia="zh-CN"/>
        </w:rPr>
      </w:pPr>
    </w:p>
    <w:p w14:paraId="7FD5DFFF">
      <w:pPr>
        <w:rPr>
          <w:rFonts w:hint="default" w:eastAsia="宋体"/>
          <w:color w:val="FF0000"/>
          <w:lang w:val="en-US" w:eastAsia="zh-CN"/>
        </w:rPr>
      </w:pPr>
    </w:p>
    <w:p w14:paraId="6CD9BA8A">
      <w:pPr>
        <w:rPr>
          <w:rFonts w:hint="default" w:eastAsia="宋体"/>
          <w:color w:val="FF0000"/>
          <w:lang w:val="en-US" w:eastAsia="zh-CN"/>
        </w:rPr>
        <w:sectPr>
          <w:footerReference r:id="rId10" w:type="first"/>
          <w:headerReference r:id="rId8" w:type="default"/>
          <w:footerReference r:id="rId9" w:type="default"/>
          <w:pgSz w:w="11900" w:h="16820"/>
          <w:pgMar w:top="1746" w:right="1108" w:bottom="0" w:left="1128" w:header="510" w:footer="397" w:gutter="0"/>
          <w:pgNumType w:fmt="decimal" w:start="2"/>
          <w:cols w:space="720" w:num="1"/>
          <w:docGrid w:linePitch="286" w:charSpace="0"/>
        </w:sectPr>
      </w:pPr>
    </w:p>
    <w:p w14:paraId="68AA2E7E">
      <w:pPr>
        <w:rPr>
          <w:rFonts w:hint="default" w:ascii="黑体" w:hAnsi="黑体" w:eastAsia="黑体" w:cs="黑体"/>
          <w:b/>
          <w:bCs/>
          <w:snapToGrid w:val="0"/>
          <w:color w:val="000000"/>
          <w:spacing w:val="-11"/>
          <w:sz w:val="24"/>
          <w:szCs w:val="24"/>
          <w:lang w:val="en-US" w:eastAsia="zh-CN" w:bidi="ar-SA"/>
        </w:rPr>
      </w:pPr>
    </w:p>
    <w:p w14:paraId="6FE4E9D4">
      <w:pPr>
        <w:spacing w:line="360" w:lineRule="auto"/>
        <w:rPr>
          <w:rFonts w:hint="default" w:ascii="黑体" w:hAnsi="黑体" w:eastAsia="黑体" w:cs="黑体"/>
          <w:b/>
          <w:bCs/>
          <w:snapToGrid w:val="0"/>
          <w:color w:val="auto"/>
          <w:spacing w:val="-11"/>
          <w:sz w:val="24"/>
          <w:szCs w:val="24"/>
          <w:lang w:val="en-US" w:eastAsia="zh-CN" w:bidi="ar-SA"/>
        </w:rPr>
      </w:pPr>
      <w:r>
        <w:rPr>
          <w:rFonts w:hint="default" w:ascii="黑体" w:hAnsi="黑体" w:eastAsia="黑体" w:cs="黑体"/>
          <w:b/>
          <w:bCs/>
          <w:snapToGrid w:val="0"/>
          <w:color w:val="auto"/>
          <w:spacing w:val="-11"/>
          <w:sz w:val="24"/>
          <w:szCs w:val="24"/>
          <w:lang w:val="en-US" w:eastAsia="zh-CN" w:bidi="ar-SA"/>
        </w:rPr>
        <w:t>1 适用范围</w:t>
      </w:r>
    </w:p>
    <w:p w14:paraId="5B6DC7F0">
      <w:pPr>
        <w:pStyle w:val="3"/>
        <w:spacing w:before="78" w:line="360" w:lineRule="auto"/>
        <w:ind w:left="18" w:right="16" w:firstLine="441"/>
        <w:rPr>
          <w:rFonts w:hint="eastAsia" w:ascii="宋体" w:hAnsi="宋体" w:eastAsia="宋体" w:cs="宋体"/>
          <w:snapToGrid w:val="0"/>
          <w:color w:val="auto"/>
          <w:spacing w:val="-3"/>
          <w:sz w:val="24"/>
          <w:szCs w:val="24"/>
          <w:lang w:val="en-US" w:eastAsia="zh-CN" w:bidi="ar-SA"/>
        </w:rPr>
      </w:pPr>
      <w:r>
        <w:rPr>
          <w:rFonts w:hint="eastAsia" w:ascii="宋体" w:hAnsi="宋体" w:eastAsia="宋体" w:cs="宋体"/>
          <w:snapToGrid w:val="0"/>
          <w:color w:val="auto"/>
          <w:spacing w:val="-3"/>
          <w:sz w:val="24"/>
          <w:szCs w:val="24"/>
          <w:lang w:val="en-US" w:eastAsia="zh-CN" w:bidi="ar-SA"/>
        </w:rPr>
        <w:t>1.1 本规则用于规范本机构对申请认证和获证的各类组织按照 IEC IECQ QC080000《有害物质过程管理（HSPM）体系要求》标准建立有害物质过程管理体系的认证活动。</w:t>
      </w:r>
    </w:p>
    <w:p w14:paraId="2963CB6C">
      <w:pPr>
        <w:pStyle w:val="3"/>
        <w:spacing w:before="90" w:line="360" w:lineRule="auto"/>
        <w:ind w:left="10" w:firstLine="448"/>
        <w:rPr>
          <w:rFonts w:hint="eastAsia" w:ascii="宋体" w:hAnsi="宋体" w:eastAsia="宋体" w:cs="宋体"/>
          <w:snapToGrid w:val="0"/>
          <w:color w:val="auto"/>
          <w:spacing w:val="-3"/>
          <w:sz w:val="24"/>
          <w:szCs w:val="24"/>
          <w:lang w:val="en-US" w:eastAsia="zh-CN" w:bidi="ar-SA"/>
        </w:rPr>
      </w:pPr>
      <w:r>
        <w:rPr>
          <w:rFonts w:hint="eastAsia" w:ascii="宋体" w:hAnsi="宋体" w:eastAsia="宋体" w:cs="宋体"/>
          <w:snapToGrid w:val="0"/>
          <w:color w:val="auto"/>
          <w:spacing w:val="-3"/>
          <w:sz w:val="24"/>
          <w:szCs w:val="24"/>
          <w:lang w:val="en-US" w:eastAsia="zh-CN" w:bidi="ar-SA"/>
        </w:rPr>
        <w:t>1.2 本规则旨在结合相关法律法规及国家《电器电子产品有害物质限制使用管理办法》和技术标准，对有害物质过程管理体系认证实施过程作出具体规定，强化本机构对认证过程的管理和责任。</w:t>
      </w:r>
    </w:p>
    <w:p w14:paraId="2BC96A3E">
      <w:pPr>
        <w:pStyle w:val="3"/>
        <w:spacing w:before="92" w:line="360" w:lineRule="auto"/>
        <w:ind w:left="7" w:right="1" w:firstLine="452"/>
        <w:rPr>
          <w:rFonts w:hint="eastAsia" w:ascii="宋体" w:hAnsi="宋体" w:eastAsia="宋体" w:cs="宋体"/>
          <w:snapToGrid w:val="0"/>
          <w:color w:val="auto"/>
          <w:spacing w:val="-3"/>
          <w:sz w:val="24"/>
          <w:szCs w:val="24"/>
          <w:lang w:val="en-US" w:eastAsia="zh-CN" w:bidi="ar-SA"/>
        </w:rPr>
      </w:pPr>
      <w:r>
        <w:rPr>
          <w:rFonts w:hint="eastAsia" w:ascii="宋体" w:hAnsi="宋体" w:eastAsia="宋体" w:cs="宋体"/>
          <w:snapToGrid w:val="0"/>
          <w:color w:val="auto"/>
          <w:spacing w:val="-3"/>
          <w:sz w:val="24"/>
          <w:szCs w:val="24"/>
          <w:lang w:val="en-US" w:eastAsia="zh-CN" w:bidi="ar-SA"/>
        </w:rPr>
        <w:t>1.3 本规则是对本机构从事有害物质过程管理体系认证活动的基本要求，本机构从事该项认证活动应当遵守本规则。</w:t>
      </w:r>
    </w:p>
    <w:p w14:paraId="2EC43AB1">
      <w:pPr>
        <w:pStyle w:val="3"/>
        <w:spacing w:before="74" w:line="360" w:lineRule="auto"/>
        <w:rPr>
          <w:rFonts w:hint="default" w:ascii="黑体" w:hAnsi="黑体" w:eastAsia="黑体" w:cs="黑体"/>
          <w:b/>
          <w:bCs/>
          <w:snapToGrid w:val="0"/>
          <w:color w:val="auto"/>
          <w:spacing w:val="-11"/>
          <w:sz w:val="24"/>
          <w:szCs w:val="24"/>
          <w:lang w:val="en-US" w:eastAsia="zh-CN" w:bidi="ar-SA"/>
        </w:rPr>
      </w:pPr>
      <w:r>
        <w:rPr>
          <w:rFonts w:hint="default" w:ascii="黑体" w:hAnsi="黑体" w:eastAsia="黑体" w:cs="黑体"/>
          <w:b/>
          <w:bCs/>
          <w:snapToGrid w:val="0"/>
          <w:color w:val="auto"/>
          <w:spacing w:val="-11"/>
          <w:sz w:val="24"/>
          <w:szCs w:val="24"/>
          <w:lang w:val="en-US" w:eastAsia="zh-CN" w:bidi="ar-SA"/>
        </w:rPr>
        <w:t>2 对本机构的要求</w:t>
      </w:r>
    </w:p>
    <w:p w14:paraId="7F13C6B8">
      <w:pPr>
        <w:pStyle w:val="3"/>
        <w:spacing w:before="62" w:line="360" w:lineRule="auto"/>
        <w:ind w:left="433"/>
        <w:rPr>
          <w:color w:val="auto"/>
        </w:rPr>
      </w:pPr>
      <w:r>
        <w:rPr>
          <w:color w:val="auto"/>
          <w:spacing w:val="-1"/>
        </w:rPr>
        <w:t>2.1</w:t>
      </w:r>
      <w:r>
        <w:rPr>
          <w:color w:val="auto"/>
          <w:spacing w:val="-35"/>
        </w:rPr>
        <w:t xml:space="preserve"> </w:t>
      </w:r>
      <w:r>
        <w:rPr>
          <w:color w:val="auto"/>
          <w:spacing w:val="-1"/>
        </w:rPr>
        <w:t>质量管理体系获得国家认监委批准、并向</w:t>
      </w:r>
      <w:r>
        <w:rPr>
          <w:color w:val="auto"/>
          <w:spacing w:val="-2"/>
        </w:rPr>
        <w:t>国家认监委备案了有害物质过程管理体系认证规则。</w:t>
      </w:r>
    </w:p>
    <w:p w14:paraId="547F8945">
      <w:pPr>
        <w:pStyle w:val="3"/>
        <w:spacing w:before="80" w:line="360" w:lineRule="auto"/>
        <w:ind w:left="7" w:right="1" w:firstLine="426"/>
        <w:rPr>
          <w:color w:val="auto"/>
        </w:rPr>
      </w:pPr>
      <w:r>
        <w:rPr>
          <w:color w:val="auto"/>
          <w:spacing w:val="-3"/>
        </w:rPr>
        <w:t>2.2</w:t>
      </w:r>
      <w:r>
        <w:rPr>
          <w:color w:val="auto"/>
          <w:spacing w:val="-11"/>
        </w:rPr>
        <w:t xml:space="preserve"> </w:t>
      </w:r>
      <w:r>
        <w:rPr>
          <w:color w:val="auto"/>
          <w:spacing w:val="-3"/>
        </w:rPr>
        <w:t>建立可满足 ISO17021的内部管理体系，以使从事的有害物质过程管理体系认证活动符合法律法规</w:t>
      </w:r>
      <w:r>
        <w:rPr>
          <w:color w:val="auto"/>
          <w:spacing w:val="-4"/>
        </w:rPr>
        <w:t>及技术标准的规定。</w:t>
      </w:r>
    </w:p>
    <w:p w14:paraId="6EB6EB88">
      <w:pPr>
        <w:pStyle w:val="3"/>
        <w:spacing w:before="91" w:line="360" w:lineRule="auto"/>
        <w:ind w:left="8" w:right="11" w:firstLine="424"/>
      </w:pPr>
      <w:r>
        <w:rPr>
          <w:color w:val="auto"/>
          <w:spacing w:val="-4"/>
        </w:rPr>
        <w:t>2.3 建立内部制约、监督和责任机制，实现受理、</w:t>
      </w:r>
      <w:r>
        <w:rPr>
          <w:spacing w:val="-4"/>
        </w:rPr>
        <w:t>培训（包括相关增值服务）、审核和作出认证决定等</w:t>
      </w:r>
      <w:r>
        <w:rPr>
          <w:spacing w:val="-5"/>
        </w:rPr>
        <w:t>环节的相互分开。</w:t>
      </w:r>
    </w:p>
    <w:p w14:paraId="75AD5918">
      <w:pPr>
        <w:pStyle w:val="3"/>
        <w:spacing w:before="90" w:line="360" w:lineRule="auto"/>
        <w:ind w:left="18" w:right="1" w:firstLine="414"/>
      </w:pPr>
      <w:r>
        <w:rPr>
          <w:spacing w:val="-4"/>
        </w:rPr>
        <w:t>2.4</w:t>
      </w:r>
      <w:r>
        <w:rPr>
          <w:spacing w:val="-35"/>
        </w:rPr>
        <w:t xml:space="preserve"> </w:t>
      </w:r>
      <w:r>
        <w:rPr>
          <w:spacing w:val="-4"/>
        </w:rPr>
        <w:t>针对有害物质过程管理体系认证能力要求，适当时按照国际电工委员会 IEC</w:t>
      </w:r>
      <w:r>
        <w:rPr>
          <w:spacing w:val="-41"/>
        </w:rPr>
        <w:t xml:space="preserve"> </w:t>
      </w:r>
      <w:r>
        <w:rPr>
          <w:spacing w:val="-4"/>
        </w:rPr>
        <w:t>进行评价，或按相关规</w:t>
      </w:r>
      <w:r>
        <w:rPr>
          <w:spacing w:val="-6"/>
        </w:rPr>
        <w:t>定要求进行认可。</w:t>
      </w:r>
    </w:p>
    <w:p w14:paraId="522916DF">
      <w:pPr>
        <w:pStyle w:val="3"/>
        <w:spacing w:before="74" w:line="360" w:lineRule="auto"/>
        <w:rPr>
          <w:rFonts w:hint="default" w:ascii="黑体" w:hAnsi="黑体" w:eastAsia="黑体" w:cs="黑体"/>
          <w:b/>
          <w:bCs/>
          <w:snapToGrid w:val="0"/>
          <w:color w:val="000000"/>
          <w:spacing w:val="-11"/>
          <w:sz w:val="24"/>
          <w:szCs w:val="24"/>
          <w:lang w:val="en-US" w:eastAsia="zh-CN" w:bidi="ar-SA"/>
        </w:rPr>
      </w:pPr>
      <w:r>
        <w:rPr>
          <w:rFonts w:hint="default" w:ascii="黑体" w:hAnsi="黑体" w:eastAsia="黑体" w:cs="黑体"/>
          <w:b/>
          <w:bCs/>
          <w:snapToGrid w:val="0"/>
          <w:color w:val="000000"/>
          <w:spacing w:val="-11"/>
          <w:sz w:val="24"/>
          <w:szCs w:val="24"/>
          <w:lang w:val="en-US" w:eastAsia="zh-CN" w:bidi="ar-SA"/>
        </w:rPr>
        <w:t>3 对认证人员的要求</w:t>
      </w:r>
    </w:p>
    <w:p w14:paraId="69CE6DBA">
      <w:pPr>
        <w:pStyle w:val="3"/>
        <w:spacing w:before="90" w:line="360" w:lineRule="auto"/>
        <w:ind w:left="18" w:right="1" w:firstLine="414"/>
        <w:rPr>
          <w:spacing w:val="-4"/>
        </w:rPr>
      </w:pPr>
      <w:r>
        <w:rPr>
          <w:spacing w:val="-4"/>
        </w:rPr>
        <w:t>3.1 认证人员应当通过本机构的有害物质过程管理体系的培训，经评价符合有害物质过程管理体系认证能力。</w:t>
      </w:r>
    </w:p>
    <w:p w14:paraId="662E9D74">
      <w:pPr>
        <w:pStyle w:val="3"/>
        <w:spacing w:before="90" w:line="360" w:lineRule="auto"/>
        <w:ind w:left="18" w:right="1" w:firstLine="414"/>
        <w:rPr>
          <w:spacing w:val="-4"/>
        </w:rPr>
      </w:pPr>
      <w:r>
        <w:rPr>
          <w:spacing w:val="-4"/>
        </w:rPr>
        <w:t>3.2 认证人员应当遵守与从业相关的法律法规，对认证活动及作出的认证审核报告和认证结论的真实性承担相应的法律责任。</w:t>
      </w:r>
    </w:p>
    <w:p w14:paraId="13CECD61">
      <w:pPr>
        <w:pStyle w:val="3"/>
        <w:spacing w:before="90" w:line="360" w:lineRule="auto"/>
        <w:ind w:left="18" w:right="1" w:firstLine="414"/>
        <w:rPr>
          <w:spacing w:val="-4"/>
        </w:rPr>
      </w:pPr>
      <w:r>
        <w:rPr>
          <w:spacing w:val="-4"/>
        </w:rPr>
        <w:t>3.3 认证审核人员需具备国家认监委确定的认证人员注册机构颁发的质量体系审核员注册资格</w:t>
      </w:r>
      <w:r>
        <w:rPr>
          <w:rFonts w:hint="eastAsia"/>
          <w:spacing w:val="-4"/>
          <w:lang w:val="en-US" w:eastAsia="zh-CN"/>
        </w:rPr>
        <w:t>或环境管理体系审核员资格</w:t>
      </w:r>
      <w:r>
        <w:rPr>
          <w:spacing w:val="-4"/>
        </w:rPr>
        <w:t xml:space="preserve">。 </w:t>
      </w:r>
    </w:p>
    <w:p w14:paraId="4ABF2897">
      <w:pPr>
        <w:pStyle w:val="3"/>
        <w:spacing w:before="74" w:line="360" w:lineRule="auto"/>
        <w:rPr>
          <w:rFonts w:hint="default" w:ascii="黑体" w:hAnsi="黑体" w:eastAsia="黑体" w:cs="黑体"/>
          <w:b/>
          <w:bCs/>
          <w:snapToGrid w:val="0"/>
          <w:color w:val="auto"/>
          <w:spacing w:val="-11"/>
          <w:sz w:val="24"/>
          <w:szCs w:val="24"/>
          <w:lang w:val="en-US" w:eastAsia="zh-CN" w:bidi="ar-SA"/>
        </w:rPr>
      </w:pPr>
      <w:r>
        <w:rPr>
          <w:rFonts w:hint="eastAsia" w:ascii="黑体" w:hAnsi="黑体" w:eastAsia="黑体" w:cs="黑体"/>
          <w:b/>
          <w:bCs/>
          <w:snapToGrid w:val="0"/>
          <w:color w:val="auto"/>
          <w:spacing w:val="-11"/>
          <w:sz w:val="24"/>
          <w:szCs w:val="24"/>
          <w:lang w:val="en-US" w:eastAsia="zh-CN" w:bidi="ar-SA"/>
        </w:rPr>
        <w:t>4 初次认证程序</w:t>
      </w:r>
    </w:p>
    <w:p w14:paraId="3845EDF3">
      <w:pPr>
        <w:pStyle w:val="3"/>
        <w:spacing w:before="74" w:line="360" w:lineRule="auto"/>
        <w:ind w:firstLine="438" w:firstLineChars="200"/>
        <w:rPr>
          <w:rFonts w:hint="default" w:ascii="黑体" w:hAnsi="黑体" w:eastAsia="黑体" w:cs="黑体"/>
          <w:b/>
          <w:bCs/>
          <w:snapToGrid w:val="0"/>
          <w:color w:val="000000"/>
          <w:spacing w:val="-11"/>
          <w:sz w:val="24"/>
          <w:szCs w:val="24"/>
          <w:lang w:val="en-US" w:eastAsia="zh-CN" w:bidi="ar-SA"/>
        </w:rPr>
      </w:pPr>
      <w:r>
        <w:rPr>
          <w:rFonts w:hint="default" w:ascii="黑体" w:hAnsi="黑体" w:eastAsia="黑体" w:cs="黑体"/>
          <w:b/>
          <w:bCs/>
          <w:snapToGrid w:val="0"/>
          <w:color w:val="000000"/>
          <w:spacing w:val="-11"/>
          <w:sz w:val="24"/>
          <w:szCs w:val="24"/>
          <w:lang w:val="en-US" w:eastAsia="zh-CN" w:bidi="ar-SA"/>
        </w:rPr>
        <w:t>4.1 受理认证申请</w:t>
      </w:r>
    </w:p>
    <w:p w14:paraId="2F1E7FFD">
      <w:pPr>
        <w:pStyle w:val="3"/>
        <w:spacing w:before="29" w:line="360" w:lineRule="auto"/>
        <w:ind w:left="427"/>
      </w:pPr>
      <w:r>
        <w:rPr>
          <w:spacing w:val="-2"/>
        </w:rPr>
        <w:t>4.1.1</w:t>
      </w:r>
      <w:r>
        <w:rPr>
          <w:spacing w:val="-29"/>
        </w:rPr>
        <w:t xml:space="preserve"> </w:t>
      </w:r>
      <w:r>
        <w:rPr>
          <w:spacing w:val="-2"/>
        </w:rPr>
        <w:t>本机构应向申请认证的组织（以下简称申请</w:t>
      </w:r>
      <w:r>
        <w:rPr>
          <w:spacing w:val="-3"/>
        </w:rPr>
        <w:t>组织）至少公开以下信息：</w:t>
      </w:r>
    </w:p>
    <w:p w14:paraId="177C9D77">
      <w:pPr>
        <w:pStyle w:val="3"/>
        <w:spacing w:before="63" w:line="360" w:lineRule="auto"/>
        <w:ind w:left="439"/>
      </w:pPr>
      <w:r>
        <w:rPr>
          <w:spacing w:val="-3"/>
        </w:rPr>
        <w:t>（1）可开展认证业务的范围，以及获得认可的情况。</w:t>
      </w:r>
    </w:p>
    <w:p w14:paraId="4135C65C">
      <w:pPr>
        <w:pStyle w:val="3"/>
        <w:spacing w:before="80" w:line="360" w:lineRule="auto"/>
        <w:ind w:left="43" w:right="27" w:firstLine="396"/>
      </w:pPr>
      <w:r>
        <w:rPr>
          <w:spacing w:val="-2"/>
        </w:rPr>
        <w:t>（2）本机构的授予、保持、扩大、更新、缩小、暂停或撤销认证及其证书等环节的制度规定</w:t>
      </w:r>
      <w:r>
        <w:rPr>
          <w:spacing w:val="-13"/>
        </w:rPr>
        <w:t>。</w:t>
      </w:r>
    </w:p>
    <w:p w14:paraId="2E113ACA">
      <w:pPr>
        <w:pStyle w:val="3"/>
        <w:spacing w:before="73" w:line="360" w:lineRule="auto"/>
        <w:ind w:left="439"/>
      </w:pPr>
      <w:r>
        <w:rPr>
          <w:spacing w:val="-5"/>
        </w:rPr>
        <w:t>（3）认证证书样式。</w:t>
      </w:r>
    </w:p>
    <w:p w14:paraId="4D581A35">
      <w:pPr>
        <w:pStyle w:val="3"/>
        <w:spacing w:before="63" w:line="360" w:lineRule="auto"/>
        <w:ind w:left="439"/>
      </w:pPr>
      <w:r>
        <w:rPr>
          <w:spacing w:val="-4"/>
        </w:rPr>
        <w:t>（4）对认证决定的申诉程序。</w:t>
      </w:r>
    </w:p>
    <w:p w14:paraId="7561DC72">
      <w:pPr>
        <w:pStyle w:val="3"/>
        <w:spacing w:before="60" w:line="360" w:lineRule="auto"/>
        <w:ind w:left="427"/>
      </w:pPr>
      <w:r>
        <w:rPr>
          <w:spacing w:val="-4"/>
        </w:rPr>
        <w:t>4.1.2</w:t>
      </w:r>
      <w:r>
        <w:rPr>
          <w:spacing w:val="-18"/>
        </w:rPr>
        <w:t xml:space="preserve"> </w:t>
      </w:r>
      <w:r>
        <w:rPr>
          <w:spacing w:val="-4"/>
        </w:rPr>
        <w:t>本机构应当要求申请组织提交以下资料：</w:t>
      </w:r>
    </w:p>
    <w:p w14:paraId="3E6EF11C">
      <w:pPr>
        <w:pStyle w:val="3"/>
        <w:spacing w:before="63" w:line="360" w:lineRule="auto"/>
        <w:ind w:left="439"/>
      </w:pPr>
      <w:r>
        <w:rPr>
          <w:spacing w:val="-2"/>
        </w:rPr>
        <w:t>（1）认证申请书，包括申请组织的生产经营或服务活动等情况的说明。</w:t>
      </w:r>
    </w:p>
    <w:p w14:paraId="4FB22D20">
      <w:pPr>
        <w:pStyle w:val="3"/>
        <w:spacing w:before="83" w:line="360" w:lineRule="auto"/>
        <w:ind w:left="11" w:right="10" w:firstLine="426"/>
      </w:pPr>
      <w:r>
        <w:rPr>
          <w:spacing w:val="-2"/>
        </w:rPr>
        <w:t>（2）法律地位的证明文件（包括：企业营业执照、事业单位法人证书、社会团体登记证书、非企业法</w:t>
      </w:r>
      <w:r>
        <w:rPr>
          <w:spacing w:val="1"/>
        </w:rPr>
        <w:t>人登记证书、党政机关设立文件等）的复印件。若有害物质过程管理体系覆盖</w:t>
      </w:r>
      <w:r>
        <w:t>多场所活动，应附每个场所</w:t>
      </w:r>
      <w:r>
        <w:rPr>
          <w:spacing w:val="-5"/>
        </w:rPr>
        <w:t>的法律地位证明文件的复印件（适用时）。</w:t>
      </w:r>
    </w:p>
    <w:p w14:paraId="403B805B">
      <w:pPr>
        <w:pStyle w:val="3"/>
        <w:spacing w:before="84" w:line="360" w:lineRule="auto"/>
        <w:ind w:left="439"/>
        <w:rPr>
          <w:rFonts w:hint="eastAsia" w:ascii="宋体" w:hAnsi="宋体" w:eastAsia="宋体" w:cs="宋体"/>
          <w:sz w:val="24"/>
          <w:szCs w:val="24"/>
        </w:rPr>
      </w:pPr>
      <w:r>
        <w:rPr>
          <w:rFonts w:hint="eastAsia" w:ascii="宋体" w:hAnsi="宋体" w:eastAsia="宋体" w:cs="宋体"/>
          <w:spacing w:val="-4"/>
          <w:sz w:val="24"/>
          <w:szCs w:val="24"/>
        </w:rPr>
        <w:t>（3）组织机构代码证书的复印件。</w:t>
      </w:r>
    </w:p>
    <w:p w14:paraId="5B2A60D9">
      <w:pPr>
        <w:pStyle w:val="3"/>
        <w:spacing w:before="79" w:line="360" w:lineRule="auto"/>
        <w:ind w:left="8" w:right="20" w:firstLine="430"/>
        <w:rPr>
          <w:rFonts w:hint="eastAsia" w:ascii="宋体" w:hAnsi="宋体" w:eastAsia="宋体" w:cs="宋体"/>
          <w:sz w:val="24"/>
          <w:szCs w:val="24"/>
        </w:rPr>
      </w:pPr>
      <w:r>
        <w:rPr>
          <w:rFonts w:hint="eastAsia" w:ascii="宋体" w:hAnsi="宋体" w:eastAsia="宋体" w:cs="宋体"/>
          <w:spacing w:val="-2"/>
          <w:sz w:val="24"/>
          <w:szCs w:val="24"/>
        </w:rPr>
        <w:t>（4）有害物质过程管理体系覆盖的活动所涉及法律法规要求的行政许可证明、资质证书、强制性认证</w:t>
      </w:r>
      <w:r>
        <w:rPr>
          <w:rFonts w:hint="eastAsia" w:ascii="宋体" w:hAnsi="宋体" w:eastAsia="宋体" w:cs="宋体"/>
          <w:spacing w:val="-5"/>
          <w:sz w:val="24"/>
          <w:szCs w:val="24"/>
        </w:rPr>
        <w:t>证书等的复印件。</w:t>
      </w:r>
    </w:p>
    <w:p w14:paraId="069A25DF">
      <w:pPr>
        <w:pStyle w:val="3"/>
        <w:spacing w:before="77" w:line="360" w:lineRule="auto"/>
        <w:ind w:left="439"/>
        <w:rPr>
          <w:rFonts w:hint="eastAsia" w:ascii="宋体" w:hAnsi="宋体" w:eastAsia="宋体" w:cs="宋体"/>
          <w:sz w:val="24"/>
          <w:szCs w:val="24"/>
        </w:rPr>
      </w:pPr>
      <w:r>
        <w:rPr>
          <w:rFonts w:hint="eastAsia" w:ascii="宋体" w:hAnsi="宋体" w:eastAsia="宋体" w:cs="宋体"/>
          <w:spacing w:val="-4"/>
          <w:sz w:val="24"/>
          <w:szCs w:val="24"/>
        </w:rPr>
        <w:t>（5）多场所活动、活动分包情况。</w:t>
      </w:r>
    </w:p>
    <w:p w14:paraId="47B9E70E">
      <w:pPr>
        <w:pStyle w:val="3"/>
        <w:spacing w:before="60" w:line="360" w:lineRule="auto"/>
        <w:ind w:left="439"/>
        <w:rPr>
          <w:rFonts w:hint="eastAsia" w:ascii="宋体" w:hAnsi="宋体" w:eastAsia="宋体" w:cs="宋体"/>
          <w:sz w:val="24"/>
          <w:szCs w:val="24"/>
        </w:rPr>
      </w:pPr>
      <w:r>
        <w:rPr>
          <w:rFonts w:hint="eastAsia" w:ascii="宋体" w:hAnsi="宋体" w:eastAsia="宋体" w:cs="宋体"/>
          <w:spacing w:val="-3"/>
          <w:sz w:val="24"/>
          <w:szCs w:val="24"/>
        </w:rPr>
        <w:t>（6）有害物质过程管理体系手册及必要的程序文件。</w:t>
      </w:r>
    </w:p>
    <w:p w14:paraId="1BF55504">
      <w:pPr>
        <w:pStyle w:val="3"/>
        <w:spacing w:before="61" w:line="360" w:lineRule="auto"/>
        <w:ind w:left="439"/>
        <w:rPr>
          <w:rFonts w:hint="eastAsia" w:ascii="宋体" w:hAnsi="宋体" w:eastAsia="宋体" w:cs="宋体"/>
          <w:sz w:val="24"/>
          <w:szCs w:val="24"/>
        </w:rPr>
      </w:pPr>
      <w:r>
        <w:rPr>
          <w:rFonts w:hint="eastAsia" w:ascii="宋体" w:hAnsi="宋体" w:eastAsia="宋体" w:cs="宋体"/>
          <w:spacing w:val="-2"/>
          <w:sz w:val="24"/>
          <w:szCs w:val="24"/>
        </w:rPr>
        <w:t>（7）有害物质过程管理体系覆盖的使用的法律法规清单</w:t>
      </w:r>
      <w:r>
        <w:rPr>
          <w:rFonts w:hint="eastAsia" w:ascii="宋体" w:hAnsi="宋体" w:eastAsia="宋体" w:cs="宋体"/>
          <w:spacing w:val="-3"/>
          <w:sz w:val="24"/>
          <w:szCs w:val="24"/>
        </w:rPr>
        <w:t>（适用时应有环评报告和安评报告）。</w:t>
      </w:r>
    </w:p>
    <w:p w14:paraId="5E87EE50">
      <w:pPr>
        <w:pStyle w:val="3"/>
        <w:spacing w:before="63" w:line="360" w:lineRule="auto"/>
        <w:ind w:left="439"/>
        <w:rPr>
          <w:rFonts w:hint="eastAsia" w:ascii="宋体" w:hAnsi="宋体" w:eastAsia="宋体" w:cs="宋体"/>
          <w:sz w:val="24"/>
          <w:szCs w:val="24"/>
        </w:rPr>
      </w:pPr>
      <w:r>
        <w:rPr>
          <w:rFonts w:hint="eastAsia" w:ascii="宋体" w:hAnsi="宋体" w:eastAsia="宋体" w:cs="宋体"/>
          <w:spacing w:val="-3"/>
          <w:sz w:val="24"/>
          <w:szCs w:val="24"/>
        </w:rPr>
        <w:t>（8）有害物质过程管理体系已有效运行</w:t>
      </w:r>
      <w:r>
        <w:rPr>
          <w:rFonts w:hint="eastAsia" w:ascii="宋体" w:hAnsi="宋体" w:eastAsia="宋体" w:cs="宋体"/>
          <w:spacing w:val="-28"/>
          <w:sz w:val="24"/>
          <w:szCs w:val="24"/>
        </w:rPr>
        <w:t xml:space="preserve"> </w:t>
      </w:r>
      <w:r>
        <w:rPr>
          <w:rFonts w:hint="eastAsia" w:ascii="宋体" w:hAnsi="宋体" w:eastAsia="宋体" w:cs="宋体"/>
          <w:spacing w:val="-3"/>
          <w:sz w:val="24"/>
          <w:szCs w:val="24"/>
        </w:rPr>
        <w:t>3</w:t>
      </w:r>
      <w:r>
        <w:rPr>
          <w:rFonts w:hint="eastAsia" w:ascii="宋体" w:hAnsi="宋体" w:eastAsia="宋体" w:cs="宋体"/>
          <w:spacing w:val="-38"/>
          <w:sz w:val="24"/>
          <w:szCs w:val="24"/>
        </w:rPr>
        <w:t xml:space="preserve"> </w:t>
      </w:r>
      <w:r>
        <w:rPr>
          <w:rFonts w:hint="eastAsia" w:ascii="宋体" w:hAnsi="宋体" w:eastAsia="宋体" w:cs="宋体"/>
          <w:spacing w:val="-3"/>
          <w:sz w:val="24"/>
          <w:szCs w:val="24"/>
        </w:rPr>
        <w:t>个月以上的证明</w:t>
      </w:r>
      <w:r>
        <w:rPr>
          <w:rFonts w:hint="eastAsia" w:ascii="宋体" w:hAnsi="宋体" w:eastAsia="宋体" w:cs="宋体"/>
          <w:spacing w:val="-4"/>
          <w:sz w:val="24"/>
          <w:szCs w:val="24"/>
        </w:rPr>
        <w:t>材料。</w:t>
      </w:r>
    </w:p>
    <w:p w14:paraId="1223A82A">
      <w:pPr>
        <w:pStyle w:val="3"/>
        <w:spacing w:before="63" w:line="360" w:lineRule="auto"/>
        <w:ind w:left="427" w:right="5702" w:firstLine="12"/>
        <w:rPr>
          <w:rFonts w:hint="eastAsia" w:ascii="宋体" w:hAnsi="宋体" w:eastAsia="宋体" w:cs="宋体"/>
          <w:sz w:val="24"/>
          <w:szCs w:val="24"/>
        </w:rPr>
      </w:pPr>
      <w:r>
        <w:rPr>
          <w:rFonts w:hint="eastAsia" w:ascii="宋体" w:hAnsi="宋体" w:eastAsia="宋体" w:cs="宋体"/>
          <w:spacing w:val="-6"/>
          <w:sz w:val="24"/>
          <w:szCs w:val="24"/>
        </w:rPr>
        <w:t>（9）其他与认证审核有关的必要文件。</w:t>
      </w:r>
      <w:r>
        <w:rPr>
          <w:rFonts w:hint="eastAsia" w:ascii="宋体" w:hAnsi="宋体" w:eastAsia="宋体" w:cs="宋体"/>
          <w:spacing w:val="11"/>
          <w:sz w:val="24"/>
          <w:szCs w:val="24"/>
        </w:rPr>
        <w:t xml:space="preserve"> </w:t>
      </w:r>
      <w:r>
        <w:rPr>
          <w:rFonts w:hint="eastAsia" w:ascii="宋体" w:hAnsi="宋体" w:eastAsia="宋体" w:cs="宋体"/>
          <w:spacing w:val="-3"/>
          <w:sz w:val="24"/>
          <w:szCs w:val="24"/>
        </w:rPr>
        <w:t>4.1.3</w:t>
      </w:r>
      <w:r>
        <w:rPr>
          <w:rFonts w:hint="eastAsia" w:ascii="宋体" w:hAnsi="宋体" w:eastAsia="宋体" w:cs="宋体"/>
          <w:spacing w:val="-24"/>
          <w:sz w:val="24"/>
          <w:szCs w:val="24"/>
        </w:rPr>
        <w:t xml:space="preserve"> </w:t>
      </w:r>
      <w:r>
        <w:rPr>
          <w:rFonts w:hint="eastAsia" w:ascii="宋体" w:hAnsi="宋体" w:eastAsia="宋体" w:cs="宋体"/>
          <w:spacing w:val="-3"/>
          <w:sz w:val="24"/>
          <w:szCs w:val="24"/>
        </w:rPr>
        <w:t>认证申请的审查确认</w:t>
      </w:r>
    </w:p>
    <w:p w14:paraId="25DC6EB8">
      <w:pPr>
        <w:pStyle w:val="3"/>
        <w:spacing w:before="60" w:line="360" w:lineRule="auto"/>
        <w:ind w:left="430"/>
        <w:rPr>
          <w:rFonts w:hint="eastAsia" w:ascii="宋体" w:hAnsi="宋体" w:eastAsia="宋体" w:cs="宋体"/>
          <w:sz w:val="24"/>
          <w:szCs w:val="24"/>
        </w:rPr>
      </w:pPr>
      <w:r>
        <w:rPr>
          <w:rFonts w:hint="eastAsia" w:ascii="宋体" w:hAnsi="宋体" w:eastAsia="宋体" w:cs="宋体"/>
          <w:spacing w:val="-3"/>
          <w:sz w:val="24"/>
          <w:szCs w:val="24"/>
        </w:rPr>
        <w:t>本机构应对申请组织提交的申请资料进行审查</w:t>
      </w:r>
      <w:r>
        <w:rPr>
          <w:rFonts w:hint="eastAsia" w:ascii="宋体" w:hAnsi="宋体" w:eastAsia="宋体" w:cs="宋体"/>
          <w:spacing w:val="-4"/>
          <w:sz w:val="24"/>
          <w:szCs w:val="24"/>
        </w:rPr>
        <w:t>，并确认：</w:t>
      </w:r>
    </w:p>
    <w:p w14:paraId="724BD82C">
      <w:pPr>
        <w:pStyle w:val="3"/>
        <w:spacing w:before="63" w:line="360" w:lineRule="auto"/>
        <w:ind w:left="439"/>
        <w:rPr>
          <w:rFonts w:hint="eastAsia" w:ascii="宋体" w:hAnsi="宋体" w:eastAsia="宋体" w:cs="宋体"/>
          <w:sz w:val="24"/>
          <w:szCs w:val="24"/>
        </w:rPr>
      </w:pPr>
      <w:r>
        <w:rPr>
          <w:rFonts w:hint="eastAsia" w:ascii="宋体" w:hAnsi="宋体" w:eastAsia="宋体" w:cs="宋体"/>
          <w:spacing w:val="-6"/>
          <w:sz w:val="24"/>
          <w:szCs w:val="24"/>
        </w:rPr>
        <w:t>（1）申请资料齐全。</w:t>
      </w:r>
    </w:p>
    <w:p w14:paraId="122CCA66">
      <w:pPr>
        <w:pStyle w:val="3"/>
        <w:spacing w:before="111" w:line="360" w:lineRule="auto"/>
        <w:ind w:left="438"/>
        <w:rPr>
          <w:rFonts w:hint="eastAsia" w:ascii="宋体" w:hAnsi="宋体" w:eastAsia="宋体" w:cs="宋体"/>
          <w:spacing w:val="-3"/>
          <w:sz w:val="24"/>
          <w:szCs w:val="24"/>
        </w:rPr>
      </w:pPr>
      <w:r>
        <w:rPr>
          <w:rFonts w:hint="eastAsia" w:ascii="宋体" w:hAnsi="宋体" w:eastAsia="宋体" w:cs="宋体"/>
          <w:spacing w:val="-3"/>
          <w:sz w:val="24"/>
          <w:szCs w:val="24"/>
        </w:rPr>
        <w:t>（2）申请组织从事的活动符合相关法律法规的规定。</w:t>
      </w:r>
    </w:p>
    <w:p w14:paraId="40A3CD5A">
      <w:pPr>
        <w:pStyle w:val="3"/>
        <w:spacing w:before="111" w:line="360" w:lineRule="auto"/>
        <w:ind w:left="438"/>
      </w:pPr>
      <w:r>
        <w:rPr>
          <w:spacing w:val="-2"/>
        </w:rPr>
        <w:t>（3）申请组织为达到管理目标而建立了文件化的有害物质过程管理体系。</w:t>
      </w:r>
    </w:p>
    <w:p w14:paraId="6F71F61D">
      <w:pPr>
        <w:pStyle w:val="3"/>
        <w:spacing w:before="79" w:line="360" w:lineRule="auto"/>
        <w:ind w:left="9" w:right="54" w:firstLine="416"/>
      </w:pPr>
      <w:r>
        <w:rPr>
          <w:spacing w:val="-2"/>
        </w:rPr>
        <w:t>4.1.4</w:t>
      </w:r>
      <w:r>
        <w:rPr>
          <w:spacing w:val="-38"/>
        </w:rPr>
        <w:t xml:space="preserve"> </w:t>
      </w:r>
      <w:r>
        <w:rPr>
          <w:spacing w:val="-2"/>
        </w:rPr>
        <w:t>根据申请组织申请的认证范围、生产</w:t>
      </w:r>
      <w:r>
        <w:rPr>
          <w:spacing w:val="-3"/>
        </w:rPr>
        <w:t>经营场所、员工人数、完成审核所需时间和其他影响认证活动的因素，综合确定是否有能力受理认证申请。</w:t>
      </w:r>
    </w:p>
    <w:p w14:paraId="3BD0D18D">
      <w:pPr>
        <w:pStyle w:val="3"/>
        <w:spacing w:before="92" w:line="360" w:lineRule="auto"/>
        <w:ind w:left="16" w:right="52" w:firstLine="408"/>
        <w:rPr>
          <w:spacing w:val="-1"/>
        </w:rPr>
      </w:pPr>
      <w:r>
        <w:rPr>
          <w:spacing w:val="-1"/>
        </w:rPr>
        <w:t>4.1.5</w:t>
      </w:r>
      <w:r>
        <w:rPr>
          <w:spacing w:val="-31"/>
        </w:rPr>
        <w:t xml:space="preserve"> </w:t>
      </w:r>
      <w:r>
        <w:rPr>
          <w:spacing w:val="-1"/>
        </w:rPr>
        <w:t>对符合 4.1.3、4.1.4 要求的，本机构可决定受理认证申请；对不符合上述要求的，本机构应通知申请组织补充和完善，或者不受理认证申请。</w:t>
      </w:r>
    </w:p>
    <w:p w14:paraId="5091D2F0">
      <w:pPr>
        <w:pStyle w:val="3"/>
        <w:spacing w:before="92" w:line="360" w:lineRule="auto"/>
        <w:ind w:left="16" w:right="52" w:firstLine="408"/>
        <w:rPr>
          <w:rFonts w:hint="eastAsia"/>
          <w:spacing w:val="-2"/>
          <w:lang w:eastAsia="zh-CN"/>
        </w:rPr>
      </w:pPr>
      <w:r>
        <w:rPr>
          <w:spacing w:val="-1"/>
        </w:rPr>
        <w:t>4.1.6 本机构应完整保存认证申请的审查确认工作记录（即：合同评审</w:t>
      </w:r>
      <w:r>
        <w:rPr>
          <w:rFonts w:hint="eastAsia"/>
          <w:spacing w:val="-1"/>
          <w:lang w:val="en-US" w:eastAsia="zh-CN"/>
        </w:rPr>
        <w:t>记录</w:t>
      </w:r>
      <w:r>
        <w:rPr>
          <w:spacing w:val="-2"/>
        </w:rPr>
        <w:t>）</w:t>
      </w:r>
      <w:r>
        <w:rPr>
          <w:rFonts w:hint="eastAsia"/>
          <w:spacing w:val="-2"/>
          <w:lang w:eastAsia="zh-CN"/>
        </w:rPr>
        <w:t>。</w:t>
      </w:r>
    </w:p>
    <w:p w14:paraId="4FC5A15B">
      <w:pPr>
        <w:pStyle w:val="3"/>
        <w:spacing w:before="92" w:line="360" w:lineRule="auto"/>
        <w:ind w:left="16" w:right="52" w:firstLine="408"/>
      </w:pPr>
      <w:r>
        <w:rPr>
          <w:spacing w:val="-2"/>
        </w:rPr>
        <w:t>4.1.7 签订</w:t>
      </w:r>
      <w:r>
        <w:rPr>
          <w:spacing w:val="-3"/>
        </w:rPr>
        <w:t>认证合同</w:t>
      </w:r>
    </w:p>
    <w:p w14:paraId="12DDC16B">
      <w:pPr>
        <w:pStyle w:val="3"/>
        <w:spacing w:before="45" w:line="360" w:lineRule="auto"/>
        <w:ind w:left="12" w:right="72" w:firstLine="412"/>
      </w:pPr>
      <w:r>
        <w:rPr>
          <w:spacing w:val="1"/>
        </w:rPr>
        <w:t>在实施认证审核前，本机构应与申请组织订立具有法律效力的书面认证合同，</w:t>
      </w:r>
      <w:r>
        <w:t>合同应至少包含以下内</w:t>
      </w:r>
      <w:r>
        <w:rPr>
          <w:spacing w:val="-6"/>
        </w:rPr>
        <w:t>容：</w:t>
      </w:r>
    </w:p>
    <w:p w14:paraId="4B430B67">
      <w:pPr>
        <w:pStyle w:val="3"/>
        <w:spacing w:before="41" w:line="360" w:lineRule="auto"/>
        <w:ind w:left="438"/>
      </w:pPr>
      <w:r>
        <w:rPr>
          <w:spacing w:val="-2"/>
        </w:rPr>
        <w:t>（1）申请组织获得认证后持续有效运行有害物质过程管理体系的承诺。</w:t>
      </w:r>
    </w:p>
    <w:p w14:paraId="1D876A06">
      <w:pPr>
        <w:pStyle w:val="3"/>
        <w:spacing w:before="79" w:line="360" w:lineRule="auto"/>
        <w:ind w:left="12" w:right="87" w:firstLine="426"/>
      </w:pPr>
      <w:r>
        <w:rPr>
          <w:spacing w:val="-2"/>
        </w:rPr>
        <w:t>（2）申请组织对遵守认证认可相关法律法规，协助认证监管部门的监督检查，</w:t>
      </w:r>
      <w:r>
        <w:rPr>
          <w:spacing w:val="-3"/>
        </w:rPr>
        <w:t>对有关事项的询问和调</w:t>
      </w:r>
      <w:r>
        <w:rPr>
          <w:spacing w:val="-4"/>
        </w:rPr>
        <w:t>查如实提供相关材料和信息的承诺。</w:t>
      </w:r>
    </w:p>
    <w:p w14:paraId="223BB475">
      <w:pPr>
        <w:pStyle w:val="3"/>
        <w:spacing w:before="75" w:line="360" w:lineRule="auto"/>
        <w:ind w:left="438"/>
      </w:pPr>
      <w:r>
        <w:rPr>
          <w:spacing w:val="-2"/>
        </w:rPr>
        <w:t>（3）申请组织承诺获得认证后发生以下情况时</w:t>
      </w:r>
      <w:r>
        <w:rPr>
          <w:spacing w:val="-3"/>
        </w:rPr>
        <w:t>，应及时向本机构通报：</w:t>
      </w:r>
    </w:p>
    <w:p w14:paraId="2F3B9C90">
      <w:pPr>
        <w:pStyle w:val="3"/>
        <w:spacing w:before="62" w:line="360" w:lineRule="auto"/>
        <w:ind w:left="426" w:firstLine="464" w:firstLineChars="200"/>
      </w:pPr>
      <w:r>
        <w:rPr>
          <w:spacing w:val="-4"/>
        </w:rPr>
        <w:t>①客户及相关方有重大投诉。</w:t>
      </w:r>
    </w:p>
    <w:p w14:paraId="6215B741">
      <w:pPr>
        <w:pStyle w:val="3"/>
        <w:spacing w:before="65" w:line="360" w:lineRule="auto"/>
        <w:ind w:left="424" w:firstLine="472" w:firstLineChars="200"/>
      </w:pPr>
      <w:r>
        <w:rPr>
          <w:spacing w:val="-2"/>
        </w:rPr>
        <w:t>②生产的产品或服务被执法监管部门认定不符合法</w:t>
      </w:r>
      <w:r>
        <w:rPr>
          <w:spacing w:val="-3"/>
        </w:rPr>
        <w:t>定要求。</w:t>
      </w:r>
    </w:p>
    <w:p w14:paraId="07B7FE10">
      <w:pPr>
        <w:pStyle w:val="3"/>
        <w:spacing w:before="64" w:line="360" w:lineRule="auto"/>
        <w:ind w:left="424" w:firstLine="468" w:firstLineChars="200"/>
        <w:rPr>
          <w:spacing w:val="-3"/>
        </w:rPr>
      </w:pPr>
      <w:r>
        <w:rPr>
          <w:spacing w:val="-3"/>
        </w:rPr>
        <w:t>③发生产品或服务的环境和安全事故。</w:t>
      </w:r>
    </w:p>
    <w:p w14:paraId="13D22330">
      <w:pPr>
        <w:pStyle w:val="3"/>
        <w:spacing w:before="64" w:line="360" w:lineRule="auto"/>
        <w:ind w:left="424" w:firstLine="484" w:firstLineChars="200"/>
      </w:pPr>
      <w:r>
        <w:rPr>
          <w:spacing w:val="1"/>
        </w:rPr>
        <w:t>④相关情况发生变更，包括：法律地位、生产经营状况、组织状态或所有权变更</w:t>
      </w:r>
      <w:r>
        <w:t>；取得的行政许可资</w:t>
      </w:r>
      <w:r>
        <w:rPr>
          <w:spacing w:val="1"/>
        </w:rPr>
        <w:t>格、强制性认证或其他资质证书变更；法定代表人、最高管理者、管理者代表变</w:t>
      </w:r>
      <w:r>
        <w:t>更；生产经营或服务的工</w:t>
      </w:r>
      <w:r>
        <w:rPr>
          <w:spacing w:val="1"/>
        </w:rPr>
        <w:t>作场所变更；有害物质过程管理体系覆盖的活动范围变更；有害物质过程管理体</w:t>
      </w:r>
      <w:r>
        <w:t>系和重要过程的重大变更</w:t>
      </w:r>
      <w:r>
        <w:rPr>
          <w:spacing w:val="-5"/>
        </w:rPr>
        <w:t>等。</w:t>
      </w:r>
    </w:p>
    <w:p w14:paraId="3A2CD7F4">
      <w:pPr>
        <w:pStyle w:val="3"/>
        <w:spacing w:before="88" w:line="360" w:lineRule="auto"/>
        <w:ind w:left="424" w:firstLine="472" w:firstLineChars="200"/>
      </w:pPr>
      <w:r>
        <w:rPr>
          <w:spacing w:val="-2"/>
        </w:rPr>
        <w:t>⑤出现影响有害物质过程管理体系运行的其他重</w:t>
      </w:r>
      <w:r>
        <w:rPr>
          <w:spacing w:val="-3"/>
        </w:rPr>
        <w:t>要情况。</w:t>
      </w:r>
    </w:p>
    <w:p w14:paraId="1CF55D81">
      <w:pPr>
        <w:pStyle w:val="3"/>
        <w:spacing w:before="83" w:line="360" w:lineRule="auto"/>
        <w:ind w:left="12" w:right="61" w:firstLine="426"/>
      </w:pPr>
      <w:r>
        <w:rPr>
          <w:spacing w:val="-5"/>
        </w:rPr>
        <w:t>（4）申请组织承诺获得认证后正确使用认证证书、认证标志和</w:t>
      </w:r>
      <w:r>
        <w:rPr>
          <w:spacing w:val="-6"/>
        </w:rPr>
        <w:t>有关信息；不擅自利用有害物质过程管</w:t>
      </w:r>
      <w:r>
        <w:rPr>
          <w:spacing w:val="-2"/>
        </w:rPr>
        <w:t>理体系认证证书和相关文字、符号误导公众认为其产品或服务通过认证。</w:t>
      </w:r>
    </w:p>
    <w:p w14:paraId="77660402">
      <w:pPr>
        <w:pStyle w:val="3"/>
        <w:spacing w:before="75" w:line="360" w:lineRule="auto"/>
        <w:ind w:left="438"/>
      </w:pPr>
      <w:r>
        <w:rPr>
          <w:spacing w:val="-2"/>
        </w:rPr>
        <w:t>（5）拟认证的有害物质过程管理体系覆盖的</w:t>
      </w:r>
      <w:r>
        <w:rPr>
          <w:spacing w:val="-3"/>
        </w:rPr>
        <w:t>生产或服务的活动范围。</w:t>
      </w:r>
    </w:p>
    <w:p w14:paraId="2627D45C">
      <w:pPr>
        <w:pStyle w:val="3"/>
        <w:spacing w:before="81" w:line="360" w:lineRule="auto"/>
        <w:ind w:left="9" w:right="85" w:firstLine="428"/>
      </w:pPr>
      <w:r>
        <w:rPr>
          <w:spacing w:val="-2"/>
        </w:rPr>
        <w:t>（6）在认证审核及认证证书有效期内各次监督审核中，本机构和申请组织各自应当承担</w:t>
      </w:r>
      <w:r>
        <w:rPr>
          <w:spacing w:val="-3"/>
        </w:rPr>
        <w:t>的责任、权利</w:t>
      </w:r>
      <w:r>
        <w:rPr>
          <w:spacing w:val="-7"/>
        </w:rPr>
        <w:t>和义务。</w:t>
      </w:r>
    </w:p>
    <w:p w14:paraId="0CBAC193">
      <w:pPr>
        <w:pStyle w:val="3"/>
        <w:spacing w:before="75" w:line="360" w:lineRule="auto"/>
        <w:ind w:left="426" w:right="5115" w:firstLine="12"/>
        <w:rPr>
          <w:b/>
          <w:bCs/>
        </w:rPr>
      </w:pPr>
      <w:r>
        <w:rPr>
          <w:spacing w:val="-5"/>
        </w:rPr>
        <w:t>（7）认证服务的费用、付费方式及违约条款</w:t>
      </w:r>
      <w:r>
        <w:rPr>
          <w:rFonts w:hint="eastAsia"/>
          <w:spacing w:val="-5"/>
          <w:lang w:eastAsia="zh-CN"/>
        </w:rPr>
        <w:t>。</w:t>
      </w:r>
      <w:r>
        <w:rPr>
          <w:spacing w:val="18"/>
        </w:rPr>
        <w:t xml:space="preserve"> </w:t>
      </w:r>
      <w:r>
        <w:rPr>
          <w:b/>
          <w:bCs/>
          <w:spacing w:val="-4"/>
        </w:rPr>
        <w:t>4.2</w:t>
      </w:r>
      <w:r>
        <w:rPr>
          <w:b/>
          <w:bCs/>
          <w:spacing w:val="-30"/>
        </w:rPr>
        <w:t xml:space="preserve"> </w:t>
      </w:r>
      <w:r>
        <w:rPr>
          <w:b/>
          <w:bCs/>
          <w:spacing w:val="-4"/>
        </w:rPr>
        <w:t>制定审核计划</w:t>
      </w:r>
    </w:p>
    <w:p w14:paraId="43A77131">
      <w:pPr>
        <w:pStyle w:val="3"/>
        <w:spacing w:before="61" w:line="360" w:lineRule="auto"/>
        <w:ind w:left="426"/>
      </w:pPr>
      <w:r>
        <w:rPr>
          <w:spacing w:val="-5"/>
        </w:rPr>
        <w:t>4.2.1</w:t>
      </w:r>
      <w:r>
        <w:rPr>
          <w:spacing w:val="-18"/>
        </w:rPr>
        <w:t xml:space="preserve"> </w:t>
      </w:r>
      <w:r>
        <w:rPr>
          <w:spacing w:val="-5"/>
        </w:rPr>
        <w:t>审核时间</w:t>
      </w:r>
    </w:p>
    <w:p w14:paraId="5537C023">
      <w:pPr>
        <w:pStyle w:val="3"/>
        <w:spacing w:before="43" w:line="360" w:lineRule="auto"/>
        <w:ind w:left="8" w:right="51" w:firstLine="418"/>
        <w:rPr>
          <w:rFonts w:ascii="Arial"/>
          <w:sz w:val="21"/>
        </w:rPr>
      </w:pPr>
      <w:r>
        <w:fldChar w:fldCharType="begin"/>
      </w:r>
      <w:r>
        <w:instrText xml:space="preserve"> HYPERLINK "4.2.1.1" </w:instrText>
      </w:r>
      <w:r>
        <w:fldChar w:fldCharType="separate"/>
      </w:r>
      <w:r>
        <w:rPr>
          <w:spacing w:val="-3"/>
        </w:rPr>
        <w:t>4.2.1.1</w:t>
      </w:r>
      <w:r>
        <w:rPr>
          <w:spacing w:val="-3"/>
        </w:rPr>
        <w:fldChar w:fldCharType="end"/>
      </w:r>
      <w:r>
        <w:rPr>
          <w:spacing w:val="-27"/>
        </w:rPr>
        <w:t xml:space="preserve"> </w:t>
      </w:r>
      <w:r>
        <w:rPr>
          <w:spacing w:val="-3"/>
        </w:rPr>
        <w:t>为确保认证审核的完整有效，本机构应以附录</w:t>
      </w:r>
      <w:r>
        <w:rPr>
          <w:spacing w:val="-52"/>
        </w:rPr>
        <w:t xml:space="preserve"> </w:t>
      </w:r>
      <w:r>
        <w:rPr>
          <w:spacing w:val="-3"/>
        </w:rPr>
        <w:t>A</w:t>
      </w:r>
      <w:r>
        <w:rPr>
          <w:spacing w:val="-38"/>
        </w:rPr>
        <w:t xml:space="preserve"> </w:t>
      </w:r>
      <w:r>
        <w:rPr>
          <w:spacing w:val="-3"/>
        </w:rPr>
        <w:t>所规定的审核时间为基础，根据申请组织有害</w:t>
      </w:r>
      <w:r>
        <w:rPr>
          <w:spacing w:val="1"/>
        </w:rPr>
        <w:t>物质过程管理体系覆盖的活动范围、特性、技术复杂程度、风险程度、认证要求</w:t>
      </w:r>
      <w:r>
        <w:t>和员工人数等情况，核算</w:t>
      </w:r>
      <w:r>
        <w:rPr>
          <w:spacing w:val="-1"/>
        </w:rPr>
        <w:t>并拟定完成审核工作需要的时间。在特殊情况下，可以减少审核时间，但减少的时间不得</w:t>
      </w:r>
      <w:r>
        <w:rPr>
          <w:spacing w:val="-2"/>
        </w:rPr>
        <w:t>超过附录 A 所规</w:t>
      </w:r>
      <w:r>
        <w:t xml:space="preserve"> </w:t>
      </w:r>
      <w:r>
        <w:rPr>
          <w:spacing w:val="-5"/>
        </w:rPr>
        <w:t>定的审核时间的 30％。</w:t>
      </w:r>
    </w:p>
    <w:p w14:paraId="443DB721">
      <w:pPr>
        <w:pStyle w:val="3"/>
        <w:spacing w:before="70" w:line="360" w:lineRule="auto"/>
        <w:ind w:left="426"/>
        <w:rPr>
          <w:b w:val="0"/>
          <w:bCs w:val="0"/>
        </w:rPr>
      </w:pPr>
      <w:r>
        <w:rPr>
          <w:b w:val="0"/>
          <w:bCs w:val="0"/>
          <w:spacing w:val="-6"/>
        </w:rPr>
        <w:t>4.2.2</w:t>
      </w:r>
      <w:r>
        <w:rPr>
          <w:b w:val="0"/>
          <w:bCs w:val="0"/>
          <w:spacing w:val="-11"/>
        </w:rPr>
        <w:t xml:space="preserve"> </w:t>
      </w:r>
      <w:r>
        <w:rPr>
          <w:b w:val="0"/>
          <w:bCs w:val="0"/>
          <w:spacing w:val="-6"/>
        </w:rPr>
        <w:t>审核组</w:t>
      </w:r>
    </w:p>
    <w:p w14:paraId="32FBE557">
      <w:pPr>
        <w:pStyle w:val="3"/>
        <w:spacing w:before="47" w:line="360" w:lineRule="auto"/>
        <w:ind w:left="24" w:right="68" w:firstLine="400"/>
      </w:pPr>
      <w:r>
        <w:fldChar w:fldCharType="begin"/>
      </w:r>
      <w:r>
        <w:instrText xml:space="preserve"> HYPERLINK "4.2.2.1" </w:instrText>
      </w:r>
      <w:r>
        <w:fldChar w:fldCharType="separate"/>
      </w:r>
      <w:r>
        <w:rPr>
          <w:spacing w:val="1"/>
        </w:rPr>
        <w:t>4.2.2.1</w:t>
      </w:r>
      <w:r>
        <w:rPr>
          <w:spacing w:val="1"/>
        </w:rPr>
        <w:fldChar w:fldCharType="end"/>
      </w:r>
      <w:r>
        <w:rPr>
          <w:spacing w:val="1"/>
        </w:rPr>
        <w:t xml:space="preserve"> 本机构应当根据有害物质过程管理体系覆盖的活动的专业技术领域选</w:t>
      </w:r>
      <w:r>
        <w:t>择具备相关能力的审核</w:t>
      </w:r>
      <w:r>
        <w:rPr>
          <w:spacing w:val="-3"/>
        </w:rPr>
        <w:t>员和技术专家组成审核组。审核组中的审核员应承担审核责任。</w:t>
      </w:r>
    </w:p>
    <w:p w14:paraId="5887F5CA">
      <w:pPr>
        <w:pStyle w:val="3"/>
        <w:spacing w:before="60" w:line="360" w:lineRule="auto"/>
        <w:ind w:left="24" w:right="54" w:firstLine="400"/>
      </w:pPr>
      <w:r>
        <w:fldChar w:fldCharType="begin"/>
      </w:r>
      <w:r>
        <w:instrText xml:space="preserve"> HYPERLINK "4.2.2.2" </w:instrText>
      </w:r>
      <w:r>
        <w:fldChar w:fldCharType="separate"/>
      </w:r>
      <w:r>
        <w:rPr>
          <w:spacing w:val="-2"/>
        </w:rPr>
        <w:t>4.2.2.2</w:t>
      </w:r>
      <w:r>
        <w:rPr>
          <w:spacing w:val="-2"/>
        </w:rPr>
        <w:fldChar w:fldCharType="end"/>
      </w:r>
      <w:r>
        <w:rPr>
          <w:spacing w:val="-36"/>
        </w:rPr>
        <w:t xml:space="preserve"> </w:t>
      </w:r>
      <w:r>
        <w:rPr>
          <w:spacing w:val="-2"/>
        </w:rPr>
        <w:t>技术专家主要负责提供认证审核的</w:t>
      </w:r>
      <w:r>
        <w:rPr>
          <w:spacing w:val="-3"/>
        </w:rPr>
        <w:t>技术支持，不作为审核员实施审核，不计入审核时间，其在审核过程中的活动由审核组中的审核员承担责任。</w:t>
      </w:r>
    </w:p>
    <w:p w14:paraId="76176A68">
      <w:pPr>
        <w:pStyle w:val="3"/>
        <w:spacing w:before="61" w:line="360" w:lineRule="auto"/>
        <w:ind w:left="42" w:right="54" w:firstLine="382"/>
      </w:pPr>
      <w:r>
        <w:fldChar w:fldCharType="begin"/>
      </w:r>
      <w:r>
        <w:instrText xml:space="preserve"> HYPERLINK "4.2.2.3" </w:instrText>
      </w:r>
      <w:r>
        <w:fldChar w:fldCharType="separate"/>
      </w:r>
      <w:r>
        <w:rPr>
          <w:spacing w:val="-3"/>
        </w:rPr>
        <w:t>4.2.2.3</w:t>
      </w:r>
      <w:r>
        <w:rPr>
          <w:spacing w:val="-3"/>
        </w:rPr>
        <w:fldChar w:fldCharType="end"/>
      </w:r>
      <w:r>
        <w:rPr>
          <w:spacing w:val="-14"/>
        </w:rPr>
        <w:t xml:space="preserve"> </w:t>
      </w:r>
      <w:r>
        <w:rPr>
          <w:spacing w:val="-3"/>
        </w:rPr>
        <w:t>审核组可以有实习审核员，其要在审核员的指导下参与审核，不计入审核时间，在审核过程中</w:t>
      </w:r>
      <w:r>
        <w:rPr>
          <w:spacing w:val="-6"/>
        </w:rPr>
        <w:t>的活动由审核组中的审核员承担责任。</w:t>
      </w:r>
    </w:p>
    <w:p w14:paraId="6062F107">
      <w:pPr>
        <w:pStyle w:val="3"/>
        <w:spacing w:before="75" w:line="360" w:lineRule="auto"/>
        <w:ind w:left="426"/>
      </w:pPr>
      <w:r>
        <w:rPr>
          <w:spacing w:val="-5"/>
        </w:rPr>
        <w:t>4.2.3</w:t>
      </w:r>
      <w:r>
        <w:rPr>
          <w:spacing w:val="-18"/>
        </w:rPr>
        <w:t xml:space="preserve"> </w:t>
      </w:r>
      <w:r>
        <w:rPr>
          <w:spacing w:val="-5"/>
        </w:rPr>
        <w:t>审核计划</w:t>
      </w:r>
    </w:p>
    <w:p w14:paraId="42386072">
      <w:pPr>
        <w:pStyle w:val="3"/>
        <w:spacing w:before="96" w:line="360" w:lineRule="auto"/>
        <w:ind w:left="8" w:right="15" w:firstLine="418"/>
        <w:rPr>
          <w:spacing w:val="-8"/>
        </w:rPr>
      </w:pPr>
      <w:r>
        <w:fldChar w:fldCharType="begin"/>
      </w:r>
      <w:r>
        <w:instrText xml:space="preserve"> HYPERLINK "4.2.3.1" </w:instrText>
      </w:r>
      <w:r>
        <w:fldChar w:fldCharType="separate"/>
      </w:r>
      <w:r>
        <w:rPr>
          <w:spacing w:val="-4"/>
        </w:rPr>
        <w:t>4.2.3.1</w:t>
      </w:r>
      <w:r>
        <w:rPr>
          <w:spacing w:val="-4"/>
        </w:rPr>
        <w:fldChar w:fldCharType="end"/>
      </w:r>
      <w:r>
        <w:rPr>
          <w:spacing w:val="-38"/>
        </w:rPr>
        <w:t xml:space="preserve"> </w:t>
      </w:r>
      <w:r>
        <w:rPr>
          <w:spacing w:val="-4"/>
        </w:rPr>
        <w:t>本机构应制定书面的审核计划交审</w:t>
      </w:r>
      <w:r>
        <w:rPr>
          <w:spacing w:val="-5"/>
        </w:rPr>
        <w:t>核组实施。审核计划至少包括以下内容：审核目的、审核范</w:t>
      </w:r>
      <w:r>
        <w:rPr>
          <w:spacing w:val="-1"/>
        </w:rPr>
        <w:t>围、审核过程、审核涉及的部门和场所、审核时间、审核组成员（其中：审核员应标明</w:t>
      </w:r>
      <w:r>
        <w:rPr>
          <w:spacing w:val="-2"/>
        </w:rPr>
        <w:t>质量和/或环境管理</w:t>
      </w:r>
      <w:r>
        <w:rPr>
          <w:spacing w:val="-8"/>
        </w:rPr>
        <w:t>体系注册证书号及专业代码；技术专家应标明专业代码、技术职称或职务，</w:t>
      </w:r>
      <w:r>
        <w:rPr>
          <w:spacing w:val="-37"/>
        </w:rPr>
        <w:t xml:space="preserve"> </w:t>
      </w:r>
      <w:r>
        <w:rPr>
          <w:spacing w:val="-8"/>
        </w:rPr>
        <w:t>如果在职应注明其服务的单位）。</w:t>
      </w:r>
    </w:p>
    <w:p w14:paraId="657A1390">
      <w:pPr>
        <w:pStyle w:val="3"/>
        <w:spacing w:before="96" w:line="360" w:lineRule="auto"/>
        <w:ind w:left="8" w:right="15" w:firstLine="418"/>
      </w:pPr>
      <w:r>
        <w:fldChar w:fldCharType="begin"/>
      </w:r>
      <w:r>
        <w:instrText xml:space="preserve"> HYPERLINK "4.2.3.2" </w:instrText>
      </w:r>
      <w:r>
        <w:fldChar w:fldCharType="separate"/>
      </w:r>
      <w:r>
        <w:rPr>
          <w:spacing w:val="-2"/>
        </w:rPr>
        <w:t>4.2.3.2</w:t>
      </w:r>
      <w:r>
        <w:rPr>
          <w:spacing w:val="-2"/>
        </w:rPr>
        <w:fldChar w:fldCharType="end"/>
      </w:r>
      <w:r>
        <w:rPr>
          <w:spacing w:val="-37"/>
        </w:rPr>
        <w:t xml:space="preserve"> </w:t>
      </w:r>
      <w:r>
        <w:rPr>
          <w:spacing w:val="-2"/>
        </w:rPr>
        <w:t>通常情况下，初次认证审核、监督审核和</w:t>
      </w:r>
      <w:r>
        <w:rPr>
          <w:spacing w:val="-3"/>
        </w:rPr>
        <w:t>再认证审核应在申请组织申请认证的范围涉及到的各</w:t>
      </w:r>
      <w:r>
        <w:rPr>
          <w:spacing w:val="-5"/>
        </w:rPr>
        <w:t>个场所现场进行。</w:t>
      </w:r>
    </w:p>
    <w:p w14:paraId="52C38838">
      <w:pPr>
        <w:pStyle w:val="3"/>
        <w:spacing w:before="80" w:line="360" w:lineRule="auto"/>
        <w:ind w:left="7" w:right="15" w:firstLine="428"/>
        <w:jc w:val="both"/>
        <w:rPr>
          <w:color w:val="auto"/>
        </w:rPr>
      </w:pPr>
      <w:r>
        <w:rPr>
          <w:color w:val="auto"/>
          <w:spacing w:val="1"/>
        </w:rPr>
        <w:t>如果有害物质过程管理体系包含在多个场所进行相同或相近的活动，且这些场所都处于该申请组织授权和控制下，本机构可以在审核中对这些场所进行抽样，但应制定合理的抽样方案以确保对各场所有害物质过程管理体系的正确审核。如果不同场所的活动存在根本不同、或不同场所存在可能对有害物质过程管</w:t>
      </w:r>
      <w:r>
        <w:rPr>
          <w:color w:val="auto"/>
          <w:spacing w:val="-1"/>
        </w:rPr>
        <w:t>理产生显著影响的区域性因素，则不能采用抽样审核的方法，应当逐一到各</w:t>
      </w:r>
      <w:r>
        <w:rPr>
          <w:color w:val="auto"/>
          <w:spacing w:val="-2"/>
        </w:rPr>
        <w:t>现场进行审核。</w:t>
      </w:r>
    </w:p>
    <w:p w14:paraId="49DEB411">
      <w:pPr>
        <w:pStyle w:val="3"/>
        <w:spacing w:before="31" w:line="360" w:lineRule="auto"/>
        <w:ind w:left="43" w:right="17" w:firstLine="382"/>
      </w:pPr>
      <w:r>
        <w:fldChar w:fldCharType="begin"/>
      </w:r>
      <w:r>
        <w:instrText xml:space="preserve"> HYPERLINK "4.2.3.3" </w:instrText>
      </w:r>
      <w:r>
        <w:fldChar w:fldCharType="separate"/>
      </w:r>
      <w:r>
        <w:rPr>
          <w:spacing w:val="-3"/>
        </w:rPr>
        <w:t>4.2.3.3</w:t>
      </w:r>
      <w:r>
        <w:rPr>
          <w:spacing w:val="-3"/>
        </w:rPr>
        <w:fldChar w:fldCharType="end"/>
      </w:r>
      <w:r>
        <w:rPr>
          <w:spacing w:val="-14"/>
        </w:rPr>
        <w:t xml:space="preserve"> </w:t>
      </w:r>
      <w:r>
        <w:rPr>
          <w:spacing w:val="-3"/>
        </w:rPr>
        <w:t>为使现场审核活动能够观察到产品生产或服务活动情况，现场审核应安排在认证范围覆盖的产</w:t>
      </w:r>
      <w:r>
        <w:rPr>
          <w:spacing w:val="-6"/>
        </w:rPr>
        <w:t>品生产或服务活动正常运行时进行。</w:t>
      </w:r>
    </w:p>
    <w:p w14:paraId="19FFCA00">
      <w:pPr>
        <w:pStyle w:val="3"/>
        <w:spacing w:before="58" w:line="360" w:lineRule="auto"/>
        <w:ind w:left="8" w:right="19" w:firstLine="418"/>
      </w:pPr>
      <w:r>
        <w:fldChar w:fldCharType="begin"/>
      </w:r>
      <w:r>
        <w:instrText xml:space="preserve"> HYPERLINK "4.2.3.4" </w:instrText>
      </w:r>
      <w:r>
        <w:fldChar w:fldCharType="separate"/>
      </w:r>
      <w:r>
        <w:rPr>
          <w:spacing w:val="-2"/>
        </w:rPr>
        <w:t>4.2.3.4</w:t>
      </w:r>
      <w:r>
        <w:rPr>
          <w:spacing w:val="-2"/>
        </w:rPr>
        <w:fldChar w:fldCharType="end"/>
      </w:r>
      <w:r>
        <w:rPr>
          <w:spacing w:val="-38"/>
        </w:rPr>
        <w:t xml:space="preserve"> </w:t>
      </w:r>
      <w:r>
        <w:rPr>
          <w:spacing w:val="-2"/>
        </w:rPr>
        <w:t>在审核活动开始前，审核组应将</w:t>
      </w:r>
      <w:r>
        <w:rPr>
          <w:spacing w:val="-3"/>
        </w:rPr>
        <w:t>书面审核计划交申请组织确认。遇特殊情况临时变更计划时，</w:t>
      </w:r>
      <w:r>
        <w:rPr>
          <w:spacing w:val="-1"/>
        </w:rPr>
        <w:t>应及时将变更情况书面通知受审核的申请组</w:t>
      </w:r>
      <w:r>
        <w:rPr>
          <w:spacing w:val="-2"/>
        </w:rPr>
        <w:t>织，并协商一致。</w:t>
      </w:r>
    </w:p>
    <w:p w14:paraId="422BC1B8">
      <w:pPr>
        <w:pStyle w:val="3"/>
        <w:spacing w:before="77" w:line="360" w:lineRule="auto"/>
        <w:ind w:left="427"/>
        <w:rPr>
          <w:b/>
          <w:bCs/>
        </w:rPr>
      </w:pPr>
      <w:r>
        <w:rPr>
          <w:b/>
          <w:bCs/>
          <w:spacing w:val="-5"/>
        </w:rPr>
        <w:t>4.3</w:t>
      </w:r>
      <w:r>
        <w:rPr>
          <w:b/>
          <w:bCs/>
          <w:spacing w:val="-26"/>
        </w:rPr>
        <w:t xml:space="preserve"> </w:t>
      </w:r>
      <w:r>
        <w:rPr>
          <w:b/>
          <w:bCs/>
          <w:spacing w:val="-5"/>
        </w:rPr>
        <w:t>实施审核</w:t>
      </w:r>
    </w:p>
    <w:p w14:paraId="64C56BCB">
      <w:pPr>
        <w:pStyle w:val="3"/>
        <w:spacing w:before="78" w:line="360" w:lineRule="auto"/>
        <w:ind w:left="8" w:right="14" w:firstLine="418"/>
      </w:pPr>
      <w:r>
        <w:rPr>
          <w:spacing w:val="-5"/>
        </w:rPr>
        <w:t>4.3.1 审核组应当全员完成审核计划的全部工作。除不可预见的特殊情况外，</w:t>
      </w:r>
      <w:r>
        <w:rPr>
          <w:spacing w:val="-20"/>
        </w:rPr>
        <w:t xml:space="preserve"> </w:t>
      </w:r>
      <w:r>
        <w:rPr>
          <w:spacing w:val="-5"/>
        </w:rPr>
        <w:t>审核过程中不得更换审核</w:t>
      </w:r>
      <w:r>
        <w:rPr>
          <w:spacing w:val="-4"/>
        </w:rPr>
        <w:t>计划确定的审核员（技术专家和实习审核员除外</w:t>
      </w:r>
      <w:r>
        <w:rPr>
          <w:spacing w:val="-5"/>
        </w:rPr>
        <w:t>）。</w:t>
      </w:r>
    </w:p>
    <w:p w14:paraId="78464867">
      <w:pPr>
        <w:pStyle w:val="3"/>
        <w:spacing w:before="91" w:line="360" w:lineRule="auto"/>
        <w:ind w:left="11" w:firstLine="414"/>
      </w:pPr>
      <w:r>
        <w:rPr>
          <w:spacing w:val="-7"/>
        </w:rPr>
        <w:t>4.3.2</w:t>
      </w:r>
      <w:r>
        <w:rPr>
          <w:spacing w:val="-15"/>
        </w:rPr>
        <w:t xml:space="preserve"> </w:t>
      </w:r>
      <w:r>
        <w:rPr>
          <w:spacing w:val="-7"/>
        </w:rPr>
        <w:t>审核组应当会同申请组织按照程序顺序召开首、末次会议。审核组应当提供首、末次会议签到表，</w:t>
      </w:r>
      <w:r>
        <w:rPr>
          <w:spacing w:val="-5"/>
        </w:rPr>
        <w:t>参会人员应签到。</w:t>
      </w:r>
    </w:p>
    <w:p w14:paraId="47E995BB">
      <w:pPr>
        <w:pStyle w:val="3"/>
        <w:spacing w:before="78" w:line="360" w:lineRule="auto"/>
        <w:ind w:left="8" w:right="14" w:firstLine="418"/>
        <w:rPr>
          <w:spacing w:val="-5"/>
        </w:rPr>
      </w:pPr>
      <w:r>
        <w:rPr>
          <w:spacing w:val="-5"/>
        </w:rPr>
        <w:t>4.3.3 审核过程及环节</w:t>
      </w:r>
    </w:p>
    <w:p w14:paraId="6C7DDF5C">
      <w:pPr>
        <w:pStyle w:val="3"/>
        <w:spacing w:before="78" w:line="360" w:lineRule="auto"/>
        <w:ind w:left="8" w:right="14" w:firstLine="418"/>
        <w:rPr>
          <w:spacing w:val="-5"/>
        </w:rPr>
      </w:pPr>
      <w:r>
        <w:rPr>
          <w:spacing w:val="-5"/>
        </w:rPr>
        <w:fldChar w:fldCharType="begin"/>
      </w:r>
      <w:r>
        <w:rPr>
          <w:spacing w:val="-5"/>
        </w:rPr>
        <w:instrText xml:space="preserve"> HYPERLINK "4.3.3.1" </w:instrText>
      </w:r>
      <w:r>
        <w:rPr>
          <w:spacing w:val="-5"/>
        </w:rPr>
        <w:fldChar w:fldCharType="separate"/>
      </w:r>
      <w:r>
        <w:rPr>
          <w:spacing w:val="-5"/>
        </w:rPr>
        <w:t>4.3.3.1</w:t>
      </w:r>
      <w:r>
        <w:rPr>
          <w:spacing w:val="-5"/>
        </w:rPr>
        <w:fldChar w:fldCharType="end"/>
      </w:r>
      <w:r>
        <w:rPr>
          <w:spacing w:val="-5"/>
        </w:rPr>
        <w:t xml:space="preserve"> 初次认证审核，分为第一、二阶段实施审核</w:t>
      </w:r>
      <w:r>
        <w:rPr>
          <w:rFonts w:hint="eastAsia"/>
          <w:spacing w:val="-5"/>
          <w:lang w:eastAsia="zh-CN"/>
        </w:rPr>
        <w:t>。</w:t>
      </w:r>
      <w:r>
        <w:rPr>
          <w:spacing w:val="-5"/>
        </w:rPr>
        <w:t xml:space="preserve"> </w:t>
      </w:r>
    </w:p>
    <w:p w14:paraId="64F127B1">
      <w:pPr>
        <w:pStyle w:val="3"/>
        <w:spacing w:before="78" w:line="360" w:lineRule="auto"/>
        <w:ind w:left="8" w:right="14" w:firstLine="418"/>
        <w:rPr>
          <w:spacing w:val="-5"/>
        </w:rPr>
      </w:pPr>
      <w:r>
        <w:rPr>
          <w:spacing w:val="-5"/>
        </w:rPr>
        <w:fldChar w:fldCharType="begin"/>
      </w:r>
      <w:r>
        <w:rPr>
          <w:spacing w:val="-5"/>
        </w:rPr>
        <w:instrText xml:space="preserve"> HYPERLINK "4.3.3.2" </w:instrText>
      </w:r>
      <w:r>
        <w:rPr>
          <w:spacing w:val="-5"/>
        </w:rPr>
        <w:fldChar w:fldCharType="separate"/>
      </w:r>
      <w:r>
        <w:rPr>
          <w:spacing w:val="-5"/>
        </w:rPr>
        <w:t>4.3.3.2</w:t>
      </w:r>
      <w:r>
        <w:rPr>
          <w:spacing w:val="-5"/>
        </w:rPr>
        <w:fldChar w:fldCharType="end"/>
      </w:r>
      <w:r>
        <w:rPr>
          <w:spacing w:val="-5"/>
        </w:rPr>
        <w:t xml:space="preserve"> 第一阶段审核应至少覆盖以下内容：</w:t>
      </w:r>
    </w:p>
    <w:p w14:paraId="1590F10F">
      <w:pPr>
        <w:pStyle w:val="3"/>
        <w:spacing w:before="51" w:line="360" w:lineRule="auto"/>
        <w:ind w:left="11" w:right="17" w:firstLine="426"/>
      </w:pPr>
      <w:r>
        <w:rPr>
          <w:spacing w:val="-1"/>
        </w:rPr>
        <w:t>（1）结合现场情况，确认申请组织实际情况与有害物质</w:t>
      </w:r>
      <w:r>
        <w:rPr>
          <w:spacing w:val="-2"/>
        </w:rPr>
        <w:t>过程管理体系文件描述的一致性，特别是体系</w:t>
      </w:r>
      <w:r>
        <w:rPr>
          <w:spacing w:val="-1"/>
        </w:rPr>
        <w:t>文件中描述的产品或服务、部门设置和负责人、生产或服务过程等是否与申请组织的实际情况相一致。</w:t>
      </w:r>
    </w:p>
    <w:p w14:paraId="320C3BCF">
      <w:pPr>
        <w:pStyle w:val="3"/>
        <w:spacing w:before="94" w:line="360" w:lineRule="auto"/>
        <w:ind w:left="11" w:right="29" w:firstLine="426"/>
      </w:pPr>
      <w:r>
        <w:rPr>
          <w:spacing w:val="-2"/>
        </w:rPr>
        <w:t>（2）结合现场情况，审核申请组织有关人员理解和实施有害物质过程管理（HSPM）体系标准要求的情</w:t>
      </w:r>
      <w:r>
        <w:rPr>
          <w:spacing w:val="1"/>
        </w:rPr>
        <w:t>况</w:t>
      </w:r>
      <w:r>
        <w:rPr>
          <w:rFonts w:hint="eastAsia"/>
          <w:spacing w:val="1"/>
          <w:lang w:eastAsia="zh-CN"/>
        </w:rPr>
        <w:t>，</w:t>
      </w:r>
      <w:r>
        <w:rPr>
          <w:spacing w:val="1"/>
        </w:rPr>
        <w:t>评价有害物质过程管理体系运行过程中是否实施了内部审核与管理评审，</w:t>
      </w:r>
      <w:r>
        <w:t>确认有害物质过程管理体系</w:t>
      </w:r>
      <w:r>
        <w:rPr>
          <w:spacing w:val="-5"/>
        </w:rPr>
        <w:t>是否已有效运行并且超过</w:t>
      </w:r>
      <w:r>
        <w:rPr>
          <w:spacing w:val="-21"/>
        </w:rPr>
        <w:t xml:space="preserve"> </w:t>
      </w:r>
      <w:r>
        <w:rPr>
          <w:spacing w:val="-5"/>
        </w:rPr>
        <w:t>3</w:t>
      </w:r>
      <w:r>
        <w:rPr>
          <w:spacing w:val="-39"/>
        </w:rPr>
        <w:t xml:space="preserve"> </w:t>
      </w:r>
      <w:r>
        <w:rPr>
          <w:spacing w:val="-5"/>
        </w:rPr>
        <w:t>个月。</w:t>
      </w:r>
    </w:p>
    <w:p w14:paraId="212B899F">
      <w:pPr>
        <w:pStyle w:val="3"/>
        <w:spacing w:before="101" w:line="360" w:lineRule="auto"/>
        <w:ind w:left="18" w:right="16" w:firstLine="408"/>
      </w:pPr>
      <w:r>
        <w:rPr>
          <w:spacing w:val="-2"/>
        </w:rPr>
        <w:t>对有害物质过程管理体系文件不符合现场实际、</w:t>
      </w:r>
      <w:r>
        <w:rPr>
          <w:spacing w:val="-3"/>
        </w:rPr>
        <w:t>相关体系运行尚未超过 3</w:t>
      </w:r>
      <w:r>
        <w:rPr>
          <w:spacing w:val="-20"/>
        </w:rPr>
        <w:t xml:space="preserve"> </w:t>
      </w:r>
      <w:r>
        <w:rPr>
          <w:spacing w:val="-3"/>
        </w:rPr>
        <w:t>个月或者无法证明超过 3</w:t>
      </w:r>
      <w:r>
        <w:rPr>
          <w:spacing w:val="-20"/>
        </w:rPr>
        <w:t xml:space="preserve"> </w:t>
      </w:r>
      <w:r>
        <w:rPr>
          <w:spacing w:val="-3"/>
        </w:rPr>
        <w:t>个</w:t>
      </w:r>
      <w:r>
        <w:rPr>
          <w:spacing w:val="-5"/>
        </w:rPr>
        <w:t>月的，应当及时终止审核。</w:t>
      </w:r>
    </w:p>
    <w:p w14:paraId="030A9C4B">
      <w:pPr>
        <w:pStyle w:val="3"/>
        <w:spacing w:before="62" w:line="360" w:lineRule="auto"/>
        <w:ind w:left="10" w:right="45" w:firstLine="428"/>
      </w:pPr>
      <w:r>
        <w:rPr>
          <w:spacing w:val="-2"/>
        </w:rPr>
        <w:t>（3）确认申请组织建立的有害物质过程管理体系覆盖的活动内容和范围、申请组织的员工人</w:t>
      </w:r>
      <w:r>
        <w:rPr>
          <w:spacing w:val="-3"/>
        </w:rPr>
        <w:t>数、活动过程和场所，遵守相关法律法规及技术标准的情况。</w:t>
      </w:r>
    </w:p>
    <w:p w14:paraId="536F059F">
      <w:pPr>
        <w:pStyle w:val="3"/>
        <w:spacing w:before="91" w:line="360" w:lineRule="auto"/>
        <w:ind w:left="10" w:right="41" w:firstLine="428"/>
      </w:pPr>
      <w:r>
        <w:rPr>
          <w:spacing w:val="-2"/>
        </w:rPr>
        <w:t>（4）结合有害物质过程管理体系覆盖活动的特点识别对管理目标的实现具有重要影响的关键点，并结</w:t>
      </w:r>
      <w:r>
        <w:rPr>
          <w:spacing w:val="-4"/>
        </w:rPr>
        <w:t>合其他因素，科学确定重要审核点。</w:t>
      </w:r>
    </w:p>
    <w:p w14:paraId="13DF56E3">
      <w:pPr>
        <w:pStyle w:val="3"/>
        <w:spacing w:before="75" w:line="360" w:lineRule="auto"/>
        <w:ind w:left="439"/>
      </w:pPr>
      <w:r>
        <w:rPr>
          <w:spacing w:val="-3"/>
        </w:rPr>
        <w:t>（5）与申请组织讨论确定第二阶段审核安排。</w:t>
      </w:r>
    </w:p>
    <w:p w14:paraId="689E6A3C">
      <w:pPr>
        <w:pStyle w:val="3"/>
        <w:spacing w:before="29" w:line="360" w:lineRule="auto"/>
        <w:ind w:left="427"/>
      </w:pPr>
      <w:r>
        <w:fldChar w:fldCharType="begin"/>
      </w:r>
      <w:r>
        <w:instrText xml:space="preserve"> HYPERLINK "4.3.3.3" </w:instrText>
      </w:r>
      <w:r>
        <w:fldChar w:fldCharType="separate"/>
      </w:r>
      <w:r>
        <w:rPr>
          <w:spacing w:val="-2"/>
          <w:position w:val="2"/>
        </w:rPr>
        <w:t>4.3.3.3</w:t>
      </w:r>
      <w:r>
        <w:rPr>
          <w:spacing w:val="-2"/>
          <w:position w:val="2"/>
        </w:rPr>
        <w:fldChar w:fldCharType="end"/>
      </w:r>
      <w:r>
        <w:rPr>
          <w:spacing w:val="-38"/>
          <w:position w:val="2"/>
        </w:rPr>
        <w:t xml:space="preserve"> </w:t>
      </w:r>
      <w:r>
        <w:rPr>
          <w:spacing w:val="-2"/>
          <w:position w:val="2"/>
        </w:rPr>
        <w:t>在下列情况，第一阶段审核可以不</w:t>
      </w:r>
      <w:r>
        <w:rPr>
          <w:spacing w:val="-3"/>
          <w:position w:val="2"/>
        </w:rPr>
        <w:t>在申请组织现场进行：</w:t>
      </w:r>
    </w:p>
    <w:p w14:paraId="7B235E09">
      <w:pPr>
        <w:pStyle w:val="3"/>
        <w:spacing w:before="48" w:line="360" w:lineRule="auto"/>
        <w:ind w:left="46" w:right="35" w:firstLine="392"/>
      </w:pPr>
      <w:r>
        <w:rPr>
          <w:spacing w:val="-2"/>
        </w:rPr>
        <w:t>（1）申请组织已获本本机构颁发的其他认证证书，本机构已对申请组织有害物质过程管理体系有充分</w:t>
      </w:r>
      <w:r>
        <w:rPr>
          <w:spacing w:val="-14"/>
        </w:rPr>
        <w:t>了解。</w:t>
      </w:r>
    </w:p>
    <w:p w14:paraId="08E031A4">
      <w:pPr>
        <w:pStyle w:val="3"/>
        <w:spacing w:before="93" w:line="360" w:lineRule="auto"/>
        <w:ind w:left="11" w:right="23" w:firstLine="426"/>
      </w:pPr>
      <w:r>
        <w:rPr>
          <w:spacing w:val="-5"/>
        </w:rPr>
        <w:t>（2）本机构有充足的理由证明申请组织的生产经营或服务的技术特征</w:t>
      </w:r>
      <w:r>
        <w:rPr>
          <w:spacing w:val="-6"/>
        </w:rPr>
        <w:t>明显、过程简单，通过对其提交</w:t>
      </w:r>
      <w:r>
        <w:rPr>
          <w:spacing w:val="-3"/>
        </w:rPr>
        <w:t>文件和资料的审查可以达到第一阶段审核的目的和要求。</w:t>
      </w:r>
    </w:p>
    <w:p w14:paraId="24C8E6DA">
      <w:pPr>
        <w:pStyle w:val="3"/>
        <w:spacing w:before="93" w:line="360" w:lineRule="auto"/>
        <w:ind w:left="7" w:right="38" w:firstLine="432"/>
      </w:pPr>
      <w:r>
        <w:rPr>
          <w:spacing w:val="-2"/>
        </w:rPr>
        <w:t>（3）申请组织获得过其他经认可的机构颁发的有效的有害物质过程管理体系认证证书，通过对其文件和资料的审查可以达到第一阶段审核的目</w:t>
      </w:r>
      <w:r>
        <w:rPr>
          <w:spacing w:val="-3"/>
        </w:rPr>
        <w:t>的和要求。</w:t>
      </w:r>
    </w:p>
    <w:p w14:paraId="277BAF16">
      <w:pPr>
        <w:pStyle w:val="3"/>
        <w:spacing w:before="74" w:line="360" w:lineRule="auto"/>
        <w:ind w:left="453"/>
      </w:pPr>
      <w:r>
        <w:rPr>
          <w:spacing w:val="-3"/>
        </w:rPr>
        <w:t>除以上情况之外，第一阶段审核应在申请组织的生产经营或服务现场进行。</w:t>
      </w:r>
    </w:p>
    <w:p w14:paraId="37C95FBC">
      <w:pPr>
        <w:pStyle w:val="3"/>
        <w:spacing w:before="48" w:line="360" w:lineRule="auto"/>
        <w:ind w:left="15" w:right="17" w:firstLine="410"/>
      </w:pPr>
      <w:r>
        <w:fldChar w:fldCharType="begin"/>
      </w:r>
      <w:r>
        <w:instrText xml:space="preserve"> HYPERLINK "4.3.3.4" </w:instrText>
      </w:r>
      <w:r>
        <w:fldChar w:fldCharType="separate"/>
      </w:r>
      <w:r>
        <w:rPr>
          <w:spacing w:val="-3"/>
        </w:rPr>
        <w:t>4.3.3.4</w:t>
      </w:r>
      <w:r>
        <w:rPr>
          <w:spacing w:val="-3"/>
        </w:rPr>
        <w:fldChar w:fldCharType="end"/>
      </w:r>
      <w:r>
        <w:rPr>
          <w:spacing w:val="-14"/>
        </w:rPr>
        <w:t xml:space="preserve"> </w:t>
      </w:r>
      <w:r>
        <w:rPr>
          <w:spacing w:val="-3"/>
        </w:rPr>
        <w:t>审核组应将第一阶段审核情况形成书面文件告知申请组织。对在第二阶段审核中可能被判定为不符合项的重要关键点，要及时提醒申请组织特别关注。</w:t>
      </w:r>
    </w:p>
    <w:p w14:paraId="4EEDB820">
      <w:pPr>
        <w:pStyle w:val="3"/>
        <w:spacing w:before="58" w:line="360" w:lineRule="auto"/>
        <w:ind w:left="47" w:right="17" w:firstLine="378"/>
      </w:pPr>
      <w:r>
        <w:fldChar w:fldCharType="begin"/>
      </w:r>
      <w:r>
        <w:instrText xml:space="preserve"> HYPERLINK "4.3.3.5" </w:instrText>
      </w:r>
      <w:r>
        <w:fldChar w:fldCharType="separate"/>
      </w:r>
      <w:r>
        <w:rPr>
          <w:spacing w:val="-2"/>
        </w:rPr>
        <w:t>4.3.3.5</w:t>
      </w:r>
      <w:r>
        <w:rPr>
          <w:spacing w:val="-2"/>
        </w:rPr>
        <w:fldChar w:fldCharType="end"/>
      </w:r>
      <w:r>
        <w:rPr>
          <w:spacing w:val="-38"/>
        </w:rPr>
        <w:t xml:space="preserve"> </w:t>
      </w:r>
      <w:r>
        <w:rPr>
          <w:spacing w:val="-2"/>
        </w:rPr>
        <w:t>第一阶段审核和第二阶段审核应安排适</w:t>
      </w:r>
      <w:r>
        <w:rPr>
          <w:spacing w:val="-3"/>
        </w:rPr>
        <w:t>宜的间隔时间，使申请组织有充分的时间解决第一阶段</w:t>
      </w:r>
      <w:r>
        <w:t xml:space="preserve"> </w:t>
      </w:r>
      <w:r>
        <w:rPr>
          <w:spacing w:val="-10"/>
        </w:rPr>
        <w:t>中发现的问题。</w:t>
      </w:r>
    </w:p>
    <w:p w14:paraId="2403DF9E">
      <w:pPr>
        <w:pStyle w:val="3"/>
        <w:spacing w:before="60" w:line="360" w:lineRule="auto"/>
        <w:ind w:left="11" w:right="17" w:firstLine="414"/>
      </w:pPr>
      <w:r>
        <w:fldChar w:fldCharType="begin"/>
      </w:r>
      <w:r>
        <w:instrText xml:space="preserve"> HYPERLINK "4.3.3.6" </w:instrText>
      </w:r>
      <w:r>
        <w:fldChar w:fldCharType="separate"/>
      </w:r>
      <w:r>
        <w:rPr>
          <w:spacing w:val="-1"/>
        </w:rPr>
        <w:t>4.3.3.6</w:t>
      </w:r>
      <w:r>
        <w:rPr>
          <w:spacing w:val="-1"/>
        </w:rPr>
        <w:fldChar w:fldCharType="end"/>
      </w:r>
      <w:r>
        <w:rPr>
          <w:spacing w:val="-30"/>
        </w:rPr>
        <w:t xml:space="preserve"> </w:t>
      </w:r>
      <w:r>
        <w:rPr>
          <w:spacing w:val="-1"/>
        </w:rPr>
        <w:t>第二阶段审核应当在申请组织现场进行。重点是审核有害物质过程管理体系符合</w:t>
      </w:r>
      <w:r>
        <w:rPr>
          <w:spacing w:val="-41"/>
        </w:rPr>
        <w:t xml:space="preserve"> </w:t>
      </w:r>
      <w:r>
        <w:rPr>
          <w:spacing w:val="-2"/>
        </w:rPr>
        <w:t>HSPM</w:t>
      </w:r>
      <w:r>
        <w:rPr>
          <w:spacing w:val="-31"/>
        </w:rPr>
        <w:t xml:space="preserve"> </w:t>
      </w:r>
      <w:r>
        <w:rPr>
          <w:spacing w:val="-2"/>
        </w:rPr>
        <w:t>标准要</w:t>
      </w:r>
      <w:r>
        <w:rPr>
          <w:spacing w:val="-4"/>
        </w:rPr>
        <w:t>求和有效运行情况，应至少覆盖以下内容：</w:t>
      </w:r>
    </w:p>
    <w:p w14:paraId="2D1AA543">
      <w:pPr>
        <w:pStyle w:val="3"/>
        <w:spacing w:before="45" w:line="360" w:lineRule="auto"/>
        <w:ind w:left="8" w:firstLine="418"/>
      </w:pPr>
      <w:r>
        <w:rPr>
          <w:spacing w:val="1"/>
        </w:rPr>
        <w:t>（1）在第一阶段审核中识别的重要审核点的监视、测量、报告和</w:t>
      </w:r>
      <w:r>
        <w:t>评审记录的完整性和有效性(重要环</w:t>
      </w:r>
      <w:r>
        <w:rPr>
          <w:spacing w:val="-1"/>
        </w:rPr>
        <w:t>境因素和不可接受的危险源识别方法及相关控制方案的制定、合</w:t>
      </w:r>
      <w:r>
        <w:rPr>
          <w:spacing w:val="-2"/>
        </w:rPr>
        <w:t>格性评价的策划)。</w:t>
      </w:r>
    </w:p>
    <w:p w14:paraId="77B76075">
      <w:pPr>
        <w:pStyle w:val="3"/>
        <w:spacing w:before="63" w:line="360" w:lineRule="auto"/>
        <w:ind w:left="439"/>
      </w:pPr>
      <w:r>
        <w:rPr>
          <w:spacing w:val="-1"/>
        </w:rPr>
        <w:t>（2）为实现总管理目标而建立的各层级管理目标是否具体</w:t>
      </w:r>
      <w:r>
        <w:rPr>
          <w:spacing w:val="-2"/>
        </w:rPr>
        <w:t>、有针对性、可测量并且可实现。</w:t>
      </w:r>
    </w:p>
    <w:p w14:paraId="17D31806">
      <w:pPr>
        <w:pStyle w:val="3"/>
        <w:spacing w:before="60" w:line="360" w:lineRule="auto"/>
        <w:ind w:left="439"/>
      </w:pPr>
      <w:r>
        <w:rPr>
          <w:spacing w:val="-2"/>
        </w:rPr>
        <w:t>（3）对有害物质过程管理体系覆盖的过程和</w:t>
      </w:r>
      <w:r>
        <w:rPr>
          <w:spacing w:val="-3"/>
        </w:rPr>
        <w:t>活动的管理及控制情况。</w:t>
      </w:r>
    </w:p>
    <w:p w14:paraId="6F151E5D">
      <w:pPr>
        <w:pStyle w:val="3"/>
        <w:spacing w:before="60" w:line="360" w:lineRule="auto"/>
        <w:ind w:left="439"/>
      </w:pPr>
      <w:r>
        <w:rPr>
          <w:spacing w:val="-4"/>
        </w:rPr>
        <w:t>（4）申请组织实际工作记录是否真实。</w:t>
      </w:r>
    </w:p>
    <w:p w14:paraId="08809E2A">
      <w:pPr>
        <w:pStyle w:val="3"/>
        <w:spacing w:before="61" w:line="360" w:lineRule="auto"/>
        <w:ind w:left="439"/>
      </w:pPr>
      <w:r>
        <w:rPr>
          <w:spacing w:val="-3"/>
        </w:rPr>
        <w:t>（5）申请组织的内部审核和管理评审是否有效。</w:t>
      </w:r>
    </w:p>
    <w:p w14:paraId="04C6C909">
      <w:pPr>
        <w:pStyle w:val="3"/>
        <w:spacing w:before="60" w:line="360" w:lineRule="auto"/>
        <w:ind w:left="426"/>
      </w:pPr>
      <w:r>
        <w:rPr>
          <w:spacing w:val="-3"/>
        </w:rPr>
        <w:t>4.3.4</w:t>
      </w:r>
      <w:r>
        <w:rPr>
          <w:spacing w:val="-5"/>
        </w:rPr>
        <w:t xml:space="preserve"> </w:t>
      </w:r>
      <w:r>
        <w:rPr>
          <w:spacing w:val="-3"/>
        </w:rPr>
        <w:t>发生以下情况时，审核组应终止审核，并向本机构报告。</w:t>
      </w:r>
    </w:p>
    <w:p w14:paraId="7CBB1FF9">
      <w:pPr>
        <w:pStyle w:val="3"/>
        <w:spacing w:before="65" w:line="360" w:lineRule="auto"/>
        <w:ind w:left="439"/>
      </w:pPr>
      <w:r>
        <w:rPr>
          <w:spacing w:val="-3"/>
        </w:rPr>
        <w:t>（1）申请组织对审核活动不予配合，审核活动无法进行。</w:t>
      </w:r>
    </w:p>
    <w:p w14:paraId="7BF07206">
      <w:pPr>
        <w:pStyle w:val="3"/>
        <w:spacing w:before="60" w:line="360" w:lineRule="auto"/>
        <w:ind w:left="439"/>
      </w:pPr>
      <w:r>
        <w:rPr>
          <w:spacing w:val="-2"/>
        </w:rPr>
        <w:t>（2）申请组织的有害物质过程管理体系有重大缺陷，不符合</w:t>
      </w:r>
      <w:r>
        <w:rPr>
          <w:spacing w:val="-46"/>
        </w:rPr>
        <w:t xml:space="preserve"> </w:t>
      </w:r>
      <w:r>
        <w:rPr>
          <w:spacing w:val="-2"/>
        </w:rPr>
        <w:t>HSPM</w:t>
      </w:r>
      <w:r>
        <w:rPr>
          <w:spacing w:val="-35"/>
        </w:rPr>
        <w:t xml:space="preserve"> </w:t>
      </w:r>
      <w:r>
        <w:rPr>
          <w:spacing w:val="-2"/>
        </w:rPr>
        <w:t>标准的要求。</w:t>
      </w:r>
    </w:p>
    <w:p w14:paraId="0846749E">
      <w:pPr>
        <w:pStyle w:val="3"/>
        <w:spacing w:before="62" w:line="360" w:lineRule="auto"/>
        <w:ind w:left="439"/>
      </w:pPr>
      <w:r>
        <w:rPr>
          <w:spacing w:val="-2"/>
        </w:rPr>
        <w:t>（3）发现申请组织存在重大质量和环境污染事故问题或有其他严重违法违规行为。</w:t>
      </w:r>
    </w:p>
    <w:p w14:paraId="37C4B332">
      <w:pPr>
        <w:pStyle w:val="3"/>
        <w:spacing w:before="61" w:line="360" w:lineRule="auto"/>
        <w:ind w:left="439"/>
        <w:rPr>
          <w:rFonts w:ascii="Arial"/>
          <w:sz w:val="21"/>
        </w:rPr>
      </w:pPr>
      <w:r>
        <w:rPr>
          <w:spacing w:val="-4"/>
        </w:rPr>
        <w:t>（4）其他导致审核程序无法完成的情况。</w:t>
      </w:r>
    </w:p>
    <w:p w14:paraId="29DB2E97">
      <w:pPr>
        <w:pStyle w:val="3"/>
        <w:spacing w:before="69" w:line="360" w:lineRule="auto"/>
        <w:ind w:left="426"/>
        <w:rPr>
          <w:b/>
          <w:bCs/>
        </w:rPr>
      </w:pPr>
      <w:r>
        <w:rPr>
          <w:b/>
          <w:bCs/>
          <w:spacing w:val="-6"/>
        </w:rPr>
        <w:t>4.4</w:t>
      </w:r>
      <w:r>
        <w:rPr>
          <w:b/>
          <w:bCs/>
          <w:spacing w:val="-18"/>
        </w:rPr>
        <w:t xml:space="preserve"> </w:t>
      </w:r>
      <w:r>
        <w:rPr>
          <w:b/>
          <w:bCs/>
          <w:spacing w:val="-6"/>
        </w:rPr>
        <w:t>审核报告</w:t>
      </w:r>
    </w:p>
    <w:p w14:paraId="5A7182A3">
      <w:pPr>
        <w:pStyle w:val="3"/>
        <w:spacing w:before="83" w:line="360" w:lineRule="auto"/>
        <w:ind w:left="9" w:right="188" w:firstLine="416"/>
      </w:pPr>
      <w:r>
        <w:rPr>
          <w:spacing w:val="-3"/>
        </w:rPr>
        <w:t>4.4.1</w:t>
      </w:r>
      <w:r>
        <w:rPr>
          <w:spacing w:val="-17"/>
        </w:rPr>
        <w:t xml:space="preserve"> </w:t>
      </w:r>
      <w:r>
        <w:rPr>
          <w:spacing w:val="-3"/>
        </w:rPr>
        <w:t>审核组应对审核活动形成书面审核报告，由审核组组长签字。审核报告应准确、简明和清晰地描述审核活动的主要内容，至少包括以下内</w:t>
      </w:r>
      <w:r>
        <w:rPr>
          <w:spacing w:val="-4"/>
        </w:rPr>
        <w:t>容：</w:t>
      </w:r>
    </w:p>
    <w:p w14:paraId="65EB808B">
      <w:pPr>
        <w:pStyle w:val="3"/>
        <w:spacing w:before="74" w:line="360" w:lineRule="auto"/>
        <w:ind w:left="439"/>
      </w:pPr>
      <w:r>
        <w:rPr>
          <w:spacing w:val="-4"/>
        </w:rPr>
        <w:t>（1）申请组织的名称和地址。</w:t>
      </w:r>
    </w:p>
    <w:p w14:paraId="1DFB0B64">
      <w:pPr>
        <w:pStyle w:val="3"/>
        <w:spacing w:before="61" w:line="360" w:lineRule="auto"/>
        <w:ind w:left="439"/>
      </w:pPr>
      <w:r>
        <w:rPr>
          <w:spacing w:val="-4"/>
        </w:rPr>
        <w:t>（2）审核的申请组织活动范围和场所。</w:t>
      </w:r>
    </w:p>
    <w:p w14:paraId="1407712E">
      <w:pPr>
        <w:pStyle w:val="3"/>
        <w:spacing w:before="61" w:line="360" w:lineRule="auto"/>
        <w:ind w:left="439"/>
      </w:pPr>
      <w:r>
        <w:rPr>
          <w:spacing w:val="-3"/>
        </w:rPr>
        <w:t>（3）审核组组长、审核组成员及其个人注册信息。</w:t>
      </w:r>
    </w:p>
    <w:p w14:paraId="40F83CD4">
      <w:pPr>
        <w:pStyle w:val="3"/>
        <w:spacing w:before="63" w:line="360" w:lineRule="auto"/>
        <w:ind w:left="439"/>
      </w:pPr>
      <w:r>
        <w:rPr>
          <w:spacing w:val="-4"/>
        </w:rPr>
        <w:t>（4）审核活动的实施日期和地点。</w:t>
      </w:r>
    </w:p>
    <w:p w14:paraId="6F4CF316">
      <w:pPr>
        <w:pStyle w:val="3"/>
        <w:spacing w:before="43" w:line="360" w:lineRule="auto"/>
        <w:ind w:left="13" w:right="187" w:firstLine="426"/>
        <w:rPr>
          <w:color w:val="FF0000"/>
        </w:rPr>
      </w:pPr>
      <w:r>
        <w:rPr>
          <w:spacing w:val="-3"/>
        </w:rPr>
        <w:t>（5）叙述从</w:t>
      </w:r>
      <w:r>
        <w:rPr>
          <w:spacing w:val="-14"/>
        </w:rPr>
        <w:t xml:space="preserve"> </w:t>
      </w:r>
      <w:r>
        <w:rPr>
          <w:spacing w:val="-3"/>
        </w:rPr>
        <w:t>4.3</w:t>
      </w:r>
      <w:r>
        <w:rPr>
          <w:spacing w:val="-34"/>
        </w:rPr>
        <w:t xml:space="preserve"> </w:t>
      </w:r>
      <w:r>
        <w:rPr>
          <w:spacing w:val="-3"/>
        </w:rPr>
        <w:t>条列明的程序及各项要求的审核工作情况，其中：对</w:t>
      </w:r>
      <w:r>
        <w:rPr>
          <w:spacing w:val="-47"/>
        </w:rPr>
        <w:t xml:space="preserve"> </w:t>
      </w:r>
      <w:r>
        <w:fldChar w:fldCharType="begin"/>
      </w:r>
      <w:r>
        <w:instrText xml:space="preserve"> HYPERLINK "4.3.3.6" </w:instrText>
      </w:r>
      <w:r>
        <w:fldChar w:fldCharType="separate"/>
      </w:r>
      <w:r>
        <w:rPr>
          <w:spacing w:val="-3"/>
        </w:rPr>
        <w:t>4.3.3.6</w:t>
      </w:r>
      <w:r>
        <w:rPr>
          <w:spacing w:val="-3"/>
        </w:rPr>
        <w:fldChar w:fldCharType="end"/>
      </w:r>
      <w:r>
        <w:rPr>
          <w:spacing w:val="-34"/>
        </w:rPr>
        <w:t xml:space="preserve"> </w:t>
      </w:r>
      <w:r>
        <w:rPr>
          <w:spacing w:val="-3"/>
        </w:rPr>
        <w:t>条的各项审核要求应</w:t>
      </w:r>
      <w:r>
        <w:rPr>
          <w:spacing w:val="-1"/>
        </w:rPr>
        <w:t>逐项就审核证据、审核发现和审核结论进行详细描述；对管理目标实现情况的评价</w:t>
      </w:r>
      <w:r>
        <w:rPr>
          <w:spacing w:val="-2"/>
        </w:rPr>
        <w:t>，应同时</w:t>
      </w:r>
      <w:r>
        <w:rPr>
          <w:color w:val="auto"/>
          <w:spacing w:val="-2"/>
        </w:rPr>
        <w:t>叙述测量方</w:t>
      </w:r>
      <w:r>
        <w:rPr>
          <w:color w:val="auto"/>
          <w:spacing w:val="-5"/>
        </w:rPr>
        <w:t>法。</w:t>
      </w:r>
    </w:p>
    <w:p w14:paraId="38E6E157">
      <w:pPr>
        <w:pStyle w:val="3"/>
        <w:spacing w:before="88" w:line="360" w:lineRule="auto"/>
        <w:ind w:left="22" w:right="194" w:firstLine="415"/>
        <w:rPr>
          <w:color w:val="auto"/>
          <w:spacing w:val="-2"/>
        </w:rPr>
      </w:pPr>
      <w:r>
        <w:rPr>
          <w:color w:val="auto"/>
          <w:spacing w:val="-1"/>
        </w:rPr>
        <w:t>（6）识别出的不符合项。不符合项的表述，应</w:t>
      </w:r>
      <w:r>
        <w:rPr>
          <w:color w:val="auto"/>
          <w:spacing w:val="-2"/>
        </w:rPr>
        <w:t>基于客观证据和审核依据，用写实的方法准确、具体</w:t>
      </w:r>
      <w:r>
        <w:rPr>
          <w:color w:val="auto"/>
          <w:spacing w:val="-1"/>
        </w:rPr>
        <w:t>、清晰描述，易于被申请组织理解。不得用概</w:t>
      </w:r>
      <w:r>
        <w:rPr>
          <w:color w:val="auto"/>
          <w:spacing w:val="-2"/>
        </w:rPr>
        <w:t>念化的、不确定的、含糊的语言表述不符合项。</w:t>
      </w:r>
    </w:p>
    <w:p w14:paraId="10D70702">
      <w:pPr>
        <w:pStyle w:val="3"/>
        <w:spacing w:before="88" w:line="360" w:lineRule="auto"/>
        <w:ind w:left="22" w:right="194" w:firstLine="415"/>
      </w:pPr>
      <w:r>
        <w:rPr>
          <w:spacing w:val="-4"/>
        </w:rPr>
        <w:t>（7）审核组对是否通过认证的意见建议。</w:t>
      </w:r>
    </w:p>
    <w:p w14:paraId="6CAF5F8B">
      <w:pPr>
        <w:pStyle w:val="3"/>
        <w:spacing w:before="88" w:line="360" w:lineRule="auto"/>
        <w:ind w:left="22" w:right="194" w:firstLine="415"/>
        <w:rPr>
          <w:color w:val="auto"/>
          <w:spacing w:val="-1"/>
        </w:rPr>
      </w:pPr>
      <w:r>
        <w:rPr>
          <w:color w:val="auto"/>
          <w:spacing w:val="-1"/>
        </w:rPr>
        <w:t>4.4.2 审核报告应随附必要的用于证明相关事实的证据或记录，包括文字或照片摄像等音像资料。</w:t>
      </w:r>
    </w:p>
    <w:p w14:paraId="4E6E3945">
      <w:pPr>
        <w:pStyle w:val="3"/>
        <w:spacing w:before="88" w:line="360" w:lineRule="auto"/>
        <w:ind w:left="22" w:right="194" w:firstLine="415"/>
        <w:rPr>
          <w:color w:val="auto"/>
          <w:spacing w:val="-1"/>
        </w:rPr>
      </w:pPr>
      <w:r>
        <w:rPr>
          <w:color w:val="auto"/>
          <w:spacing w:val="-1"/>
        </w:rPr>
        <w:t>4.4.3 本机构应将审核报告提交申请组织，并保留签收或提交的证据。</w:t>
      </w:r>
    </w:p>
    <w:p w14:paraId="50B6AEC6">
      <w:pPr>
        <w:pStyle w:val="3"/>
        <w:spacing w:before="88" w:line="360" w:lineRule="auto"/>
        <w:ind w:left="22" w:right="194" w:firstLine="415"/>
        <w:rPr>
          <w:color w:val="auto"/>
          <w:spacing w:val="-1"/>
        </w:rPr>
      </w:pPr>
      <w:r>
        <w:rPr>
          <w:color w:val="auto"/>
          <w:spacing w:val="-1"/>
        </w:rPr>
        <w:t>4.4.4 对终止审核的项目，审核组应将已开展的工作情况形成报告，本机构应将此报告及终止审核的原因提交给申请组织，并保留签收或提交的证据。</w:t>
      </w:r>
    </w:p>
    <w:p w14:paraId="06AC8C6D">
      <w:pPr>
        <w:pStyle w:val="3"/>
        <w:spacing w:before="88" w:line="360" w:lineRule="auto"/>
        <w:ind w:left="22" w:right="194" w:firstLine="415"/>
        <w:rPr>
          <w:b/>
          <w:bCs/>
          <w:color w:val="auto"/>
          <w:spacing w:val="-1"/>
        </w:rPr>
      </w:pPr>
      <w:r>
        <w:rPr>
          <w:b/>
          <w:bCs/>
          <w:color w:val="auto"/>
          <w:spacing w:val="-1"/>
        </w:rPr>
        <w:t>4.5 不符合项的纠正和纠正措施及其结果的验证</w:t>
      </w:r>
    </w:p>
    <w:p w14:paraId="54E80629">
      <w:pPr>
        <w:pStyle w:val="3"/>
        <w:spacing w:before="88" w:line="360" w:lineRule="auto"/>
        <w:ind w:left="22" w:right="194" w:firstLine="415"/>
        <w:rPr>
          <w:color w:val="auto"/>
          <w:spacing w:val="-1"/>
        </w:rPr>
      </w:pPr>
      <w:r>
        <w:rPr>
          <w:color w:val="auto"/>
          <w:spacing w:val="-1"/>
        </w:rPr>
        <w:t>4.5.1 对审核中发现的不符合项，本机构应要求申请组织分析原因，并要求申请组织在规定期限内采取措施进行纠正。</w:t>
      </w:r>
    </w:p>
    <w:p w14:paraId="0B2244F7">
      <w:pPr>
        <w:pStyle w:val="3"/>
        <w:spacing w:before="88" w:line="360" w:lineRule="auto"/>
        <w:ind w:left="22" w:right="194" w:firstLine="415"/>
        <w:rPr>
          <w:color w:val="auto"/>
          <w:spacing w:val="-1"/>
        </w:rPr>
      </w:pPr>
      <w:r>
        <w:rPr>
          <w:color w:val="auto"/>
          <w:spacing w:val="-1"/>
        </w:rPr>
        <w:t xml:space="preserve">4.5.2 本机构应对申请组织所采取的纠正和纠正措施及其结果的有效性进行验证。 </w:t>
      </w:r>
    </w:p>
    <w:p w14:paraId="75E2227E">
      <w:pPr>
        <w:pStyle w:val="3"/>
        <w:spacing w:before="88" w:line="360" w:lineRule="auto"/>
        <w:ind w:left="22" w:right="194" w:firstLine="415"/>
        <w:rPr>
          <w:b/>
          <w:bCs/>
          <w:color w:val="auto"/>
          <w:spacing w:val="-1"/>
        </w:rPr>
      </w:pPr>
      <w:r>
        <w:rPr>
          <w:b/>
          <w:bCs/>
          <w:color w:val="auto"/>
          <w:spacing w:val="-1"/>
        </w:rPr>
        <w:t>4.6 认证决定</w:t>
      </w:r>
    </w:p>
    <w:p w14:paraId="4B37713E">
      <w:pPr>
        <w:pStyle w:val="3"/>
        <w:spacing w:before="88" w:line="360" w:lineRule="auto"/>
        <w:ind w:left="22" w:right="194" w:firstLine="415"/>
        <w:rPr>
          <w:color w:val="auto"/>
          <w:spacing w:val="-1"/>
        </w:rPr>
      </w:pPr>
      <w:r>
        <w:rPr>
          <w:color w:val="auto"/>
          <w:spacing w:val="-1"/>
        </w:rPr>
        <w:t>4.6.1 本机构应该在对审核报告、不符合项的纠正和纠正措施及其结果进行综合评价基础上， 作出认证决定。</w:t>
      </w:r>
    </w:p>
    <w:p w14:paraId="0E038E5F">
      <w:pPr>
        <w:pStyle w:val="3"/>
        <w:spacing w:before="88" w:line="360" w:lineRule="auto"/>
        <w:ind w:left="22" w:right="194" w:firstLine="415"/>
        <w:rPr>
          <w:color w:val="auto"/>
          <w:spacing w:val="-1"/>
        </w:rPr>
      </w:pPr>
      <w:r>
        <w:rPr>
          <w:color w:val="auto"/>
          <w:spacing w:val="-1"/>
        </w:rPr>
        <w:t xml:space="preserve">4.6.2 审核组成员不得参与对审核项目的认证决定。 </w:t>
      </w:r>
    </w:p>
    <w:p w14:paraId="5C455A3D">
      <w:pPr>
        <w:pStyle w:val="3"/>
        <w:spacing w:before="88" w:line="360" w:lineRule="auto"/>
        <w:ind w:left="22" w:right="194" w:firstLine="415"/>
        <w:rPr>
          <w:color w:val="auto"/>
          <w:spacing w:val="-1"/>
        </w:rPr>
      </w:pPr>
      <w:r>
        <w:rPr>
          <w:color w:val="auto"/>
          <w:spacing w:val="-1"/>
        </w:rPr>
        <w:t>4.6.3 本机构在作出认证决定前应确认如下情形：</w:t>
      </w:r>
    </w:p>
    <w:p w14:paraId="5E09160F">
      <w:pPr>
        <w:pStyle w:val="3"/>
        <w:spacing w:before="88" w:line="360" w:lineRule="auto"/>
        <w:ind w:left="22" w:right="194" w:firstLine="415"/>
        <w:rPr>
          <w:color w:val="auto"/>
          <w:spacing w:val="-1"/>
        </w:rPr>
      </w:pPr>
      <w:r>
        <w:rPr>
          <w:color w:val="auto"/>
          <w:spacing w:val="-1"/>
        </w:rPr>
        <w:t>（1）审核报告符合本规则第 4.4 条要求，能够满足作出认证决定所需要的信息。</w:t>
      </w:r>
    </w:p>
    <w:p w14:paraId="00F81CFE">
      <w:pPr>
        <w:pStyle w:val="3"/>
        <w:spacing w:before="88" w:line="360" w:lineRule="auto"/>
        <w:ind w:left="22" w:right="194" w:firstLine="415"/>
        <w:rPr>
          <w:color w:val="auto"/>
          <w:spacing w:val="-1"/>
        </w:rPr>
      </w:pPr>
      <w:r>
        <w:rPr>
          <w:color w:val="auto"/>
          <w:spacing w:val="-1"/>
        </w:rPr>
        <w:t>（2）反映以下问题的不符合项，本机构已评审、接受并验证了纠正和纠正措施及其结果的有效性。</w:t>
      </w:r>
    </w:p>
    <w:p w14:paraId="25FF0440">
      <w:pPr>
        <w:pStyle w:val="3"/>
        <w:spacing w:before="88" w:line="360" w:lineRule="auto"/>
        <w:ind w:left="22" w:right="194" w:firstLine="706" w:firstLineChars="297"/>
        <w:rPr>
          <w:color w:val="auto"/>
          <w:spacing w:val="-1"/>
        </w:rPr>
      </w:pPr>
      <w:r>
        <w:rPr>
          <w:color w:val="auto"/>
          <w:spacing w:val="-1"/>
        </w:rPr>
        <w:t>①未能满足有害物质过程管理体系标准的要求。</w:t>
      </w:r>
    </w:p>
    <w:p w14:paraId="04D805EB">
      <w:pPr>
        <w:pStyle w:val="3"/>
        <w:spacing w:before="88" w:line="360" w:lineRule="auto"/>
        <w:ind w:left="22" w:right="194" w:firstLine="706" w:firstLineChars="297"/>
        <w:rPr>
          <w:color w:val="auto"/>
          <w:spacing w:val="-1"/>
        </w:rPr>
      </w:pPr>
      <w:r>
        <w:rPr>
          <w:color w:val="auto"/>
          <w:spacing w:val="-1"/>
        </w:rPr>
        <w:t>②制定的管理目标不可测量、或测量方法不明确。</w:t>
      </w:r>
    </w:p>
    <w:p w14:paraId="0E0083D2">
      <w:pPr>
        <w:pStyle w:val="3"/>
        <w:spacing w:before="88" w:line="360" w:lineRule="auto"/>
        <w:ind w:left="22" w:right="194" w:firstLine="706" w:firstLineChars="297"/>
        <w:rPr>
          <w:color w:val="auto"/>
          <w:spacing w:val="-1"/>
        </w:rPr>
      </w:pPr>
      <w:r>
        <w:rPr>
          <w:color w:val="auto"/>
          <w:spacing w:val="-1"/>
        </w:rPr>
        <w:t>③对实现管理目标具有重要影响的关键点的监视和测量未有效运行，或者对这些关键点的报告或评审记录不完整或无效。</w:t>
      </w:r>
    </w:p>
    <w:p w14:paraId="58917C7E">
      <w:pPr>
        <w:pStyle w:val="3"/>
        <w:spacing w:before="88" w:line="360" w:lineRule="auto"/>
        <w:ind w:left="22" w:right="194" w:firstLine="706" w:firstLineChars="297"/>
        <w:rPr>
          <w:color w:val="auto"/>
          <w:spacing w:val="-1"/>
        </w:rPr>
      </w:pPr>
      <w:r>
        <w:rPr>
          <w:color w:val="auto"/>
          <w:spacing w:val="-1"/>
        </w:rPr>
        <w:t>④在持续改进有害物质过程管理体系的有效性方面存在缺陷，实现管理目标有重大疑问。</w:t>
      </w:r>
    </w:p>
    <w:p w14:paraId="2B273E38">
      <w:pPr>
        <w:pStyle w:val="3"/>
        <w:spacing w:before="88" w:line="360" w:lineRule="auto"/>
        <w:ind w:left="22" w:right="194" w:firstLine="415"/>
        <w:rPr>
          <w:color w:val="auto"/>
          <w:spacing w:val="-1"/>
        </w:rPr>
      </w:pPr>
      <w:r>
        <w:rPr>
          <w:color w:val="auto"/>
          <w:spacing w:val="-1"/>
        </w:rPr>
        <w:t>（3）本机构对其他不符合项已评审，并接受了申请组织计划采取的纠正和纠正措施。</w:t>
      </w:r>
    </w:p>
    <w:p w14:paraId="152F0A7B">
      <w:pPr>
        <w:pStyle w:val="3"/>
        <w:spacing w:before="88" w:line="360" w:lineRule="auto"/>
        <w:ind w:left="22" w:right="194" w:firstLine="415"/>
        <w:rPr>
          <w:color w:val="auto"/>
          <w:spacing w:val="-1"/>
        </w:rPr>
      </w:pPr>
      <w:r>
        <w:rPr>
          <w:color w:val="auto"/>
          <w:spacing w:val="-1"/>
        </w:rPr>
        <w:t>4.6.4 在满足 4.6.3 条要求的基础上，本机构有充分的客观证据证明申请组织满足下列要求的，评定该申请组织符合认证要求，向其颁发认证证书。</w:t>
      </w:r>
    </w:p>
    <w:p w14:paraId="30756EDB">
      <w:pPr>
        <w:pStyle w:val="3"/>
        <w:spacing w:before="88" w:line="360" w:lineRule="auto"/>
        <w:ind w:left="22" w:right="194" w:firstLine="415"/>
        <w:rPr>
          <w:color w:val="auto"/>
          <w:spacing w:val="-1"/>
        </w:rPr>
      </w:pPr>
      <w:r>
        <w:rPr>
          <w:color w:val="auto"/>
          <w:spacing w:val="-1"/>
        </w:rPr>
        <w:t>（1）申请组织的有害物质过程管理体系符合标准要求且运行有效。</w:t>
      </w:r>
    </w:p>
    <w:p w14:paraId="3C30DB5B">
      <w:pPr>
        <w:pStyle w:val="3"/>
        <w:spacing w:before="88" w:line="360" w:lineRule="auto"/>
        <w:ind w:left="22" w:right="194" w:firstLine="415"/>
        <w:rPr>
          <w:color w:val="auto"/>
          <w:spacing w:val="-1"/>
        </w:rPr>
      </w:pPr>
      <w:r>
        <w:rPr>
          <w:color w:val="auto"/>
          <w:spacing w:val="-1"/>
        </w:rPr>
        <w:t>（2）认证范围覆盖的产品或服务符合相关法律法规要求。</w:t>
      </w:r>
    </w:p>
    <w:p w14:paraId="2E42C6FC">
      <w:pPr>
        <w:pStyle w:val="3"/>
        <w:spacing w:before="88" w:line="360" w:lineRule="auto"/>
        <w:ind w:left="22" w:right="194" w:firstLine="415"/>
        <w:rPr>
          <w:color w:val="auto"/>
          <w:spacing w:val="-1"/>
        </w:rPr>
      </w:pPr>
      <w:r>
        <w:rPr>
          <w:color w:val="auto"/>
          <w:spacing w:val="-1"/>
        </w:rPr>
        <w:t>（3）申请组织按照认证合同规定履行了相关义务。</w:t>
      </w:r>
    </w:p>
    <w:p w14:paraId="1A770395">
      <w:pPr>
        <w:pStyle w:val="3"/>
        <w:spacing w:before="88" w:line="360" w:lineRule="auto"/>
        <w:ind w:left="22" w:right="194" w:firstLine="415"/>
        <w:rPr>
          <w:color w:val="auto"/>
          <w:spacing w:val="-1"/>
        </w:rPr>
      </w:pPr>
      <w:r>
        <w:rPr>
          <w:color w:val="auto"/>
          <w:spacing w:val="-1"/>
        </w:rPr>
        <w:t>4.6.5 申请组织不能满足上述要求的，评定该申请组织不符合认证要求，以书面形式告知申请组织并说明其未通过认证的原因。</w:t>
      </w:r>
    </w:p>
    <w:p w14:paraId="30D0A7DD">
      <w:pPr>
        <w:pStyle w:val="3"/>
        <w:spacing w:before="88" w:line="360" w:lineRule="auto"/>
        <w:ind w:left="22" w:right="194" w:firstLine="415"/>
        <w:rPr>
          <w:color w:val="auto"/>
          <w:spacing w:val="-1"/>
        </w:rPr>
      </w:pPr>
      <w:r>
        <w:rPr>
          <w:color w:val="auto"/>
          <w:spacing w:val="-1"/>
        </w:rPr>
        <w:t xml:space="preserve">4.6.6 本机构在颁发认证证书后，应当在 30 个工作日内按照规定的要求将相关信息报送国家认监委。国家认监委在其网站（www.cnca.gov.cn）开设专栏向社会公开各本机构上报的认证证书等信息。 </w:t>
      </w:r>
    </w:p>
    <w:p w14:paraId="1279F3E5">
      <w:pPr>
        <w:pStyle w:val="3"/>
        <w:spacing w:before="88" w:line="360" w:lineRule="auto"/>
        <w:ind w:left="22" w:right="194" w:firstLine="415"/>
        <w:rPr>
          <w:color w:val="auto"/>
          <w:spacing w:val="-1"/>
        </w:rPr>
      </w:pPr>
      <w:r>
        <w:rPr>
          <w:color w:val="auto"/>
          <w:spacing w:val="-1"/>
        </w:rPr>
        <w:t>4.6.7</w:t>
      </w:r>
      <w:r>
        <w:rPr>
          <w:rFonts w:hint="eastAsia"/>
          <w:color w:val="auto"/>
          <w:spacing w:val="-1"/>
          <w:lang w:val="en-US" w:eastAsia="zh-CN"/>
        </w:rPr>
        <w:t xml:space="preserve"> </w:t>
      </w:r>
      <w:r>
        <w:rPr>
          <w:color w:val="auto"/>
          <w:spacing w:val="-1"/>
        </w:rPr>
        <w:t>本机构不得将申请组织是否获得认证与参与认证审核的审核员及其他人员的薪酬挂钩。</w:t>
      </w:r>
    </w:p>
    <w:p w14:paraId="4167675D">
      <w:pPr>
        <w:pStyle w:val="3"/>
        <w:spacing w:before="88" w:line="360" w:lineRule="auto"/>
        <w:ind w:right="194"/>
        <w:rPr>
          <w:b/>
          <w:bCs/>
          <w:color w:val="auto"/>
          <w:spacing w:val="-1"/>
        </w:rPr>
      </w:pPr>
      <w:r>
        <w:rPr>
          <w:b/>
          <w:bCs/>
          <w:color w:val="auto"/>
          <w:spacing w:val="-1"/>
        </w:rPr>
        <w:t>5 监督审核程序</w:t>
      </w:r>
    </w:p>
    <w:p w14:paraId="74043AB0">
      <w:pPr>
        <w:pStyle w:val="3"/>
        <w:spacing w:before="88" w:line="360" w:lineRule="auto"/>
        <w:ind w:left="22" w:right="194" w:firstLine="415"/>
        <w:rPr>
          <w:color w:val="auto"/>
          <w:spacing w:val="-1"/>
        </w:rPr>
      </w:pPr>
      <w:r>
        <w:rPr>
          <w:color w:val="auto"/>
          <w:spacing w:val="-1"/>
        </w:rPr>
        <w:t>5.1 本机构应对持有其颁发的有害物质过程管理体系认证证书的组织（以下称获证组织）进行有效跟踪, 监督获证组织通过认证的有害物质过程管理体系持续符合要求。</w:t>
      </w:r>
    </w:p>
    <w:p w14:paraId="0538E8C4">
      <w:pPr>
        <w:pStyle w:val="3"/>
        <w:spacing w:before="88" w:line="360" w:lineRule="auto"/>
        <w:ind w:left="22" w:right="194" w:firstLine="415"/>
        <w:rPr>
          <w:color w:val="auto"/>
          <w:spacing w:val="-1"/>
        </w:rPr>
      </w:pPr>
      <w:r>
        <w:rPr>
          <w:color w:val="auto"/>
          <w:spacing w:val="-1"/>
        </w:rPr>
        <w:t>5.2 为确保达到 5.1 条要求，本机构应根据获证组织的产品或服务的风险程度或其他特性，确定对获证组织的监督审核的频次。</w:t>
      </w:r>
    </w:p>
    <w:p w14:paraId="01775B12">
      <w:pPr>
        <w:pStyle w:val="3"/>
        <w:spacing w:before="88" w:line="360" w:lineRule="auto"/>
        <w:ind w:left="22" w:right="194" w:firstLine="415"/>
        <w:rPr>
          <w:color w:val="auto"/>
          <w:spacing w:val="-1"/>
        </w:rPr>
      </w:pPr>
      <w:r>
        <w:rPr>
          <w:color w:val="auto"/>
          <w:spacing w:val="-1"/>
        </w:rPr>
        <w:t>5.2.1监督审核应至少每个日历年（应进行再认证的年份除外）进行一次。初次认证后的第一次监督审核应在认证决定日期起12个月内进行。</w:t>
      </w:r>
    </w:p>
    <w:p w14:paraId="6866EE4F">
      <w:pPr>
        <w:pStyle w:val="3"/>
        <w:spacing w:before="88" w:line="360" w:lineRule="auto"/>
        <w:ind w:left="22" w:right="194" w:firstLine="415"/>
        <w:rPr>
          <w:color w:val="auto"/>
          <w:spacing w:val="-1"/>
        </w:rPr>
      </w:pPr>
      <w:r>
        <w:rPr>
          <w:color w:val="auto"/>
          <w:spacing w:val="-1"/>
        </w:rPr>
        <w:t>5.2.2 在达到第二次监督审核期限而有证据表明获证组织暂不具备实施监督审核的条件时，可以适当延长监督审核期限，但最长间隔不能超过 15 个月。</w:t>
      </w:r>
    </w:p>
    <w:p w14:paraId="725A4BF2">
      <w:pPr>
        <w:pStyle w:val="3"/>
        <w:spacing w:before="88" w:line="360" w:lineRule="auto"/>
        <w:ind w:left="22" w:right="194" w:firstLine="415"/>
        <w:rPr>
          <w:color w:val="auto"/>
          <w:spacing w:val="-1"/>
        </w:rPr>
      </w:pPr>
      <w:r>
        <w:rPr>
          <w:color w:val="auto"/>
          <w:spacing w:val="-1"/>
        </w:rPr>
        <w:t xml:space="preserve">5.2.3 超过期限而未能实施监督审核的，应按 7.2 或 7.3 条处理。 </w:t>
      </w:r>
    </w:p>
    <w:p w14:paraId="274F168A">
      <w:pPr>
        <w:pStyle w:val="3"/>
        <w:spacing w:before="88" w:line="360" w:lineRule="auto"/>
        <w:ind w:left="22" w:right="194" w:firstLine="415"/>
        <w:rPr>
          <w:color w:val="auto"/>
          <w:spacing w:val="-1"/>
        </w:rPr>
      </w:pPr>
      <w:r>
        <w:rPr>
          <w:color w:val="auto"/>
          <w:spacing w:val="-1"/>
        </w:rPr>
        <w:t>5.3 监督审核的时间，应符合附录 A 的要求。</w:t>
      </w:r>
    </w:p>
    <w:p w14:paraId="7788FC47">
      <w:pPr>
        <w:pStyle w:val="3"/>
        <w:spacing w:before="88" w:line="360" w:lineRule="auto"/>
        <w:ind w:left="22" w:right="194" w:firstLine="415"/>
        <w:rPr>
          <w:color w:val="auto"/>
          <w:spacing w:val="-1"/>
        </w:rPr>
      </w:pPr>
      <w:r>
        <w:rPr>
          <w:color w:val="auto"/>
          <w:spacing w:val="-1"/>
        </w:rPr>
        <w:t>5.4 监督审核的审核组，应符合 4.2.2 条和 4.3.1 条的要求。</w:t>
      </w:r>
    </w:p>
    <w:p w14:paraId="54381585">
      <w:pPr>
        <w:pStyle w:val="3"/>
        <w:spacing w:before="88" w:line="360" w:lineRule="auto"/>
        <w:ind w:left="22" w:right="194" w:firstLine="415"/>
        <w:rPr>
          <w:color w:val="auto"/>
          <w:spacing w:val="-1"/>
        </w:rPr>
      </w:pPr>
      <w:r>
        <w:rPr>
          <w:color w:val="auto"/>
          <w:spacing w:val="-1"/>
        </w:rPr>
        <w:t xml:space="preserve">5.5 监督审核应在获证组织现场进行，且应满足第 </w:t>
      </w:r>
      <w:r>
        <w:rPr>
          <w:color w:val="auto"/>
          <w:spacing w:val="-1"/>
        </w:rPr>
        <w:fldChar w:fldCharType="begin"/>
      </w:r>
      <w:r>
        <w:rPr>
          <w:color w:val="auto"/>
          <w:spacing w:val="-1"/>
        </w:rPr>
        <w:instrText xml:space="preserve"> HYPERLINK "4.2.3.3" </w:instrText>
      </w:r>
      <w:r>
        <w:rPr>
          <w:color w:val="auto"/>
          <w:spacing w:val="-1"/>
        </w:rPr>
        <w:fldChar w:fldCharType="separate"/>
      </w:r>
      <w:r>
        <w:rPr>
          <w:color w:val="auto"/>
          <w:spacing w:val="-1"/>
        </w:rPr>
        <w:t>4.2.3.3</w:t>
      </w:r>
      <w:r>
        <w:rPr>
          <w:color w:val="auto"/>
          <w:spacing w:val="-1"/>
        </w:rPr>
        <w:fldChar w:fldCharType="end"/>
      </w:r>
      <w:r>
        <w:rPr>
          <w:color w:val="auto"/>
          <w:spacing w:val="-1"/>
        </w:rPr>
        <w:t xml:space="preserve"> 条确定的条件。在认证证书有效期内的每次监督审核需覆盖认证范围内的所有产品，以及标准全部条款。</w:t>
      </w:r>
    </w:p>
    <w:p w14:paraId="605CFFF9">
      <w:pPr>
        <w:pStyle w:val="3"/>
        <w:spacing w:before="88" w:line="360" w:lineRule="auto"/>
        <w:ind w:left="22" w:right="194" w:firstLine="415"/>
        <w:rPr>
          <w:color w:val="auto"/>
          <w:spacing w:val="-1"/>
        </w:rPr>
      </w:pPr>
      <w:r>
        <w:rPr>
          <w:color w:val="auto"/>
          <w:spacing w:val="-1"/>
        </w:rPr>
        <w:t>5.6 监督审核时至少应审核以下内容：</w:t>
      </w:r>
    </w:p>
    <w:p w14:paraId="20CF9D8D">
      <w:pPr>
        <w:pStyle w:val="3"/>
        <w:spacing w:before="88" w:line="360" w:lineRule="auto"/>
        <w:ind w:right="194" w:firstLine="476" w:firstLineChars="200"/>
        <w:rPr>
          <w:color w:val="auto"/>
          <w:spacing w:val="-1"/>
        </w:rPr>
      </w:pPr>
      <w:r>
        <w:rPr>
          <w:color w:val="auto"/>
          <w:spacing w:val="-1"/>
        </w:rPr>
        <w:t>（1）上次审核以来有害物质过程管理体系覆盖的活动及运行体系的资源是否有变更。</w:t>
      </w:r>
    </w:p>
    <w:p w14:paraId="43A0736C">
      <w:pPr>
        <w:pStyle w:val="3"/>
        <w:spacing w:before="88" w:line="360" w:lineRule="auto"/>
        <w:ind w:right="194" w:firstLine="476" w:firstLineChars="200"/>
        <w:rPr>
          <w:color w:val="auto"/>
          <w:spacing w:val="-1"/>
        </w:rPr>
      </w:pPr>
      <w:r>
        <w:rPr>
          <w:color w:val="auto"/>
          <w:spacing w:val="-1"/>
        </w:rPr>
        <w:t xml:space="preserve">（2）按 </w:t>
      </w:r>
      <w:r>
        <w:rPr>
          <w:color w:val="auto"/>
          <w:spacing w:val="-1"/>
        </w:rPr>
        <w:fldChar w:fldCharType="begin"/>
      </w:r>
      <w:r>
        <w:rPr>
          <w:color w:val="auto"/>
          <w:spacing w:val="-1"/>
        </w:rPr>
        <w:instrText xml:space="preserve"> HYPERLINK "4.3.3.2" </w:instrText>
      </w:r>
      <w:r>
        <w:rPr>
          <w:color w:val="auto"/>
          <w:spacing w:val="-1"/>
        </w:rPr>
        <w:fldChar w:fldCharType="separate"/>
      </w:r>
      <w:r>
        <w:rPr>
          <w:color w:val="auto"/>
          <w:spacing w:val="-1"/>
        </w:rPr>
        <w:t>4.3.3.2</w:t>
      </w:r>
      <w:r>
        <w:rPr>
          <w:color w:val="auto"/>
          <w:spacing w:val="-1"/>
        </w:rPr>
        <w:fldChar w:fldCharType="end"/>
      </w:r>
      <w:r>
        <w:rPr>
          <w:color w:val="auto"/>
          <w:spacing w:val="-1"/>
        </w:rPr>
        <w:t xml:space="preserve"> 条要求已识别的重要关键点是否按有害物质过程管理体系的要求在正常和有效运行。</w:t>
      </w:r>
    </w:p>
    <w:p w14:paraId="7E28F831">
      <w:pPr>
        <w:pStyle w:val="3"/>
        <w:spacing w:before="88" w:line="360" w:lineRule="auto"/>
        <w:ind w:left="22" w:right="194" w:firstLine="415"/>
        <w:rPr>
          <w:color w:val="auto"/>
          <w:spacing w:val="-1"/>
        </w:rPr>
      </w:pPr>
      <w:r>
        <w:rPr>
          <w:color w:val="auto"/>
          <w:spacing w:val="-1"/>
        </w:rPr>
        <w:t>（3）对上次审核中确定的不符合项采取的纠正和纠正措施是否继续有效。</w:t>
      </w:r>
    </w:p>
    <w:p w14:paraId="394D4998">
      <w:pPr>
        <w:pStyle w:val="3"/>
        <w:spacing w:before="88" w:line="360" w:lineRule="auto"/>
        <w:ind w:left="22" w:right="194" w:firstLine="415"/>
        <w:rPr>
          <w:color w:val="auto"/>
          <w:spacing w:val="-1"/>
        </w:rPr>
      </w:pPr>
      <w:r>
        <w:rPr>
          <w:color w:val="auto"/>
          <w:spacing w:val="-1"/>
        </w:rPr>
        <w:t>（4）有害物质过程管理体系覆盖的活动涉及法律法规规定的，是否持续符合相关规定。</w:t>
      </w:r>
    </w:p>
    <w:p w14:paraId="35CB83C7">
      <w:pPr>
        <w:pStyle w:val="3"/>
        <w:spacing w:before="88" w:line="360" w:lineRule="auto"/>
        <w:ind w:left="22" w:right="194" w:firstLine="415"/>
        <w:rPr>
          <w:color w:val="auto"/>
          <w:spacing w:val="-1"/>
        </w:rPr>
      </w:pPr>
      <w:r>
        <w:rPr>
          <w:color w:val="auto"/>
          <w:spacing w:val="-1"/>
        </w:rPr>
        <w:t>（5）总管理目标及各层级管理目标是否实现。目标没有实现的，获证组织在内部管理评审时是否及时调查并采取了改进措施。</w:t>
      </w:r>
    </w:p>
    <w:p w14:paraId="77D28CEC">
      <w:pPr>
        <w:pStyle w:val="3"/>
        <w:spacing w:before="88" w:line="360" w:lineRule="auto"/>
        <w:ind w:left="22" w:right="194" w:firstLine="415"/>
        <w:rPr>
          <w:color w:val="auto"/>
          <w:spacing w:val="-1"/>
        </w:rPr>
      </w:pPr>
      <w:r>
        <w:rPr>
          <w:color w:val="auto"/>
          <w:spacing w:val="-1"/>
        </w:rPr>
        <w:t>（6）获证组织对认证标志的使用或对认证资格的引用是否符合相关的规定。</w:t>
      </w:r>
    </w:p>
    <w:p w14:paraId="7A8E9E15">
      <w:pPr>
        <w:pStyle w:val="3"/>
        <w:spacing w:before="88" w:line="360" w:lineRule="auto"/>
        <w:ind w:left="22" w:right="194" w:firstLine="415"/>
        <w:rPr>
          <w:color w:val="auto"/>
          <w:spacing w:val="-1"/>
        </w:rPr>
      </w:pPr>
      <w:r>
        <w:rPr>
          <w:color w:val="auto"/>
          <w:spacing w:val="-1"/>
        </w:rPr>
        <w:t>（7）内部审核和管理评审是否规范和有效。</w:t>
      </w:r>
    </w:p>
    <w:p w14:paraId="185514E2">
      <w:pPr>
        <w:pStyle w:val="3"/>
        <w:spacing w:before="88" w:line="360" w:lineRule="auto"/>
        <w:ind w:left="22" w:right="194" w:firstLine="415"/>
        <w:rPr>
          <w:color w:val="auto"/>
          <w:spacing w:val="-1"/>
        </w:rPr>
      </w:pPr>
      <w:r>
        <w:rPr>
          <w:color w:val="auto"/>
          <w:spacing w:val="-1"/>
        </w:rPr>
        <w:t>（8）是否及时接受和处理投诉。</w:t>
      </w:r>
    </w:p>
    <w:p w14:paraId="70F84E39">
      <w:pPr>
        <w:pStyle w:val="3"/>
        <w:spacing w:before="88" w:line="360" w:lineRule="auto"/>
        <w:ind w:left="22" w:right="194" w:firstLine="415"/>
        <w:rPr>
          <w:color w:val="auto"/>
          <w:spacing w:val="-1"/>
        </w:rPr>
      </w:pPr>
      <w:r>
        <w:rPr>
          <w:color w:val="auto"/>
          <w:spacing w:val="-1"/>
        </w:rPr>
        <w:t>（9）针对内审发现的问题或投诉的问题，及时制定并实施了有效的持续改进。</w:t>
      </w:r>
    </w:p>
    <w:p w14:paraId="2B62E3FF">
      <w:pPr>
        <w:pStyle w:val="3"/>
        <w:spacing w:before="88" w:line="360" w:lineRule="auto"/>
        <w:ind w:left="22" w:right="194" w:firstLine="415"/>
        <w:rPr>
          <w:color w:val="auto"/>
          <w:spacing w:val="-1"/>
        </w:rPr>
      </w:pPr>
      <w:r>
        <w:rPr>
          <w:color w:val="auto"/>
          <w:spacing w:val="-1"/>
        </w:rPr>
        <w:t>5.7 监督审核的审核报告，应按 5.6 条列明的审核要求逐项描述审核证据、审核发现和审核结论。审核组应提出是否继续保持认证证书的意见建议。</w:t>
      </w:r>
    </w:p>
    <w:p w14:paraId="501486CC">
      <w:pPr>
        <w:pStyle w:val="3"/>
        <w:spacing w:before="88" w:line="360" w:lineRule="auto"/>
        <w:ind w:left="22" w:right="194" w:firstLine="415"/>
        <w:rPr>
          <w:color w:val="auto"/>
          <w:spacing w:val="-1"/>
        </w:rPr>
      </w:pPr>
      <w:r>
        <w:rPr>
          <w:color w:val="auto"/>
          <w:spacing w:val="-1"/>
        </w:rPr>
        <w:t>5.8 本机构根据监督审核报告及其他相关信息，作出继续保持或暂停、撤销认证证书的决定。</w:t>
      </w:r>
    </w:p>
    <w:p w14:paraId="720F2AA1">
      <w:pPr>
        <w:pStyle w:val="3"/>
        <w:spacing w:before="88" w:line="360" w:lineRule="auto"/>
        <w:ind w:right="194"/>
        <w:rPr>
          <w:b/>
          <w:bCs/>
          <w:color w:val="auto"/>
          <w:spacing w:val="-1"/>
        </w:rPr>
      </w:pPr>
      <w:r>
        <w:rPr>
          <w:b/>
          <w:bCs/>
          <w:color w:val="auto"/>
          <w:spacing w:val="-1"/>
        </w:rPr>
        <w:t>6 再认证程序</w:t>
      </w:r>
    </w:p>
    <w:p w14:paraId="209FD366">
      <w:pPr>
        <w:pStyle w:val="3"/>
        <w:spacing w:before="88" w:line="360" w:lineRule="auto"/>
        <w:ind w:left="22" w:right="194" w:firstLine="415"/>
        <w:rPr>
          <w:color w:val="auto"/>
          <w:spacing w:val="-1"/>
        </w:rPr>
      </w:pPr>
      <w:r>
        <w:rPr>
          <w:color w:val="auto"/>
          <w:spacing w:val="-1"/>
        </w:rPr>
        <w:t>6.1 认证证书期满前，若获证组织申请继续持有认证证书，本机构应当实施再认证审核决定是否延续认证证书。</w:t>
      </w:r>
    </w:p>
    <w:p w14:paraId="6432FC4B">
      <w:pPr>
        <w:pStyle w:val="3"/>
        <w:spacing w:before="88" w:line="360" w:lineRule="auto"/>
        <w:ind w:left="22" w:right="194" w:firstLine="415"/>
        <w:rPr>
          <w:rFonts w:hint="eastAsia"/>
          <w:color w:val="auto"/>
          <w:spacing w:val="-1"/>
        </w:rPr>
      </w:pPr>
      <w:r>
        <w:rPr>
          <w:rFonts w:hint="eastAsia"/>
          <w:color w:val="auto"/>
          <w:spacing w:val="-1"/>
        </w:rPr>
        <w:t>6.2 本机构应按 4.2.2 条要求组成审核组。按照 4.2.3 条要求并结合历次监督审核情况，制定再认证计划并交审核组实施。审核组按照要求开展再认证审核。</w:t>
      </w:r>
    </w:p>
    <w:p w14:paraId="69D527EE">
      <w:pPr>
        <w:pStyle w:val="3"/>
        <w:spacing w:before="88" w:line="360" w:lineRule="auto"/>
        <w:ind w:left="22" w:right="194" w:firstLine="415"/>
        <w:rPr>
          <w:rFonts w:hint="default"/>
          <w:color w:val="auto"/>
          <w:spacing w:val="-1"/>
          <w:lang w:val="en-US" w:eastAsia="zh-CN"/>
        </w:rPr>
      </w:pPr>
      <w:r>
        <w:rPr>
          <w:rFonts w:hint="eastAsia"/>
          <w:color w:val="auto"/>
          <w:spacing w:val="-1"/>
        </w:rPr>
        <w:t>在有害物质过程管理体系及获证组织的内部和外部环境无重大变更时，再认证审核可省略第一阶段文件审核，但审核时间应按照附录 A 的要求。</w:t>
      </w:r>
    </w:p>
    <w:p w14:paraId="4A0D05EE">
      <w:pPr>
        <w:pStyle w:val="3"/>
        <w:spacing w:before="88" w:line="360" w:lineRule="auto"/>
        <w:ind w:left="22" w:right="194" w:firstLine="415"/>
        <w:rPr>
          <w:color w:val="auto"/>
          <w:spacing w:val="-1"/>
        </w:rPr>
      </w:pPr>
      <w:r>
        <w:rPr>
          <w:color w:val="auto"/>
          <w:spacing w:val="-1"/>
        </w:rPr>
        <w:t>6.3 对再认证审核中发现的不符合项，应按 4.5 条要求实施纠正和纠正措施并进行验证，验证应在原证书有效期满前完成。</w:t>
      </w:r>
    </w:p>
    <w:p w14:paraId="48BE3263">
      <w:pPr>
        <w:pStyle w:val="3"/>
        <w:spacing w:before="88" w:line="360" w:lineRule="auto"/>
        <w:ind w:left="22" w:right="194" w:firstLine="415"/>
        <w:rPr>
          <w:color w:val="auto"/>
          <w:spacing w:val="-1"/>
        </w:rPr>
      </w:pPr>
      <w:r>
        <w:rPr>
          <w:color w:val="auto"/>
          <w:spacing w:val="-1"/>
        </w:rPr>
        <w:t>6.4 本机构参照 4.6 条要求作出再认证决定。获证组织继续满足认证要求并履行认证合同义务的，向其换发认证证书。</w:t>
      </w:r>
    </w:p>
    <w:p w14:paraId="2AC87D57">
      <w:pPr>
        <w:pStyle w:val="3"/>
        <w:spacing w:before="88" w:line="360" w:lineRule="auto"/>
        <w:ind w:right="194"/>
        <w:rPr>
          <w:b/>
          <w:bCs/>
          <w:color w:val="auto"/>
          <w:spacing w:val="-1"/>
        </w:rPr>
      </w:pPr>
      <w:r>
        <w:rPr>
          <w:b/>
          <w:bCs/>
          <w:color w:val="auto"/>
          <w:spacing w:val="-1"/>
        </w:rPr>
        <w:t>7 暂停或撤销认证证书</w:t>
      </w:r>
    </w:p>
    <w:p w14:paraId="088CAF3A">
      <w:pPr>
        <w:pStyle w:val="3"/>
        <w:spacing w:before="88" w:line="360" w:lineRule="auto"/>
        <w:ind w:left="260" w:leftChars="124" w:right="194" w:firstLine="230" w:firstLineChars="97"/>
        <w:rPr>
          <w:color w:val="auto"/>
          <w:spacing w:val="-1"/>
        </w:rPr>
      </w:pPr>
      <w:r>
        <w:rPr>
          <w:color w:val="auto"/>
          <w:spacing w:val="-1"/>
        </w:rPr>
        <w:t xml:space="preserve">7.1 本机构应制定暂停、撤销认证证书或缩小认证范围的规定，并形成文件化的管理制度。 </w:t>
      </w:r>
    </w:p>
    <w:p w14:paraId="6E0B1346">
      <w:pPr>
        <w:pStyle w:val="3"/>
        <w:spacing w:before="88" w:line="360" w:lineRule="auto"/>
        <w:ind w:left="260" w:leftChars="124" w:right="194" w:firstLine="232" w:firstLineChars="97"/>
        <w:rPr>
          <w:b/>
          <w:bCs/>
          <w:color w:val="auto"/>
          <w:spacing w:val="-1"/>
        </w:rPr>
      </w:pPr>
      <w:r>
        <w:rPr>
          <w:b/>
          <w:bCs/>
          <w:color w:val="auto"/>
          <w:spacing w:val="-1"/>
        </w:rPr>
        <w:t>7.2 暂停证书</w:t>
      </w:r>
    </w:p>
    <w:p w14:paraId="1F4852C8">
      <w:pPr>
        <w:pStyle w:val="3"/>
        <w:spacing w:before="88" w:line="360" w:lineRule="auto"/>
        <w:ind w:left="22" w:right="194" w:firstLine="415"/>
        <w:rPr>
          <w:color w:val="auto"/>
          <w:spacing w:val="-1"/>
        </w:rPr>
      </w:pPr>
      <w:r>
        <w:rPr>
          <w:color w:val="auto"/>
          <w:spacing w:val="-1"/>
        </w:rPr>
        <w:t>7.2.1 获证组织有以下情形之一的，本机构应在调查核实后的 5 个工作日内暂停其认证证书。</w:t>
      </w:r>
    </w:p>
    <w:p w14:paraId="08B3322F">
      <w:pPr>
        <w:pStyle w:val="3"/>
        <w:spacing w:before="88" w:line="360" w:lineRule="auto"/>
        <w:ind w:left="22" w:right="194" w:firstLine="415"/>
        <w:rPr>
          <w:color w:val="auto"/>
          <w:spacing w:val="-1"/>
        </w:rPr>
      </w:pPr>
      <w:r>
        <w:rPr>
          <w:color w:val="auto"/>
          <w:spacing w:val="-1"/>
        </w:rPr>
        <w:t>（1）有害物质过程管理体系持续或严重不满足认证要求，包括对有害物质过程管理体系运行有效性要求的。</w:t>
      </w:r>
    </w:p>
    <w:p w14:paraId="61BD5CF5">
      <w:pPr>
        <w:pStyle w:val="3"/>
        <w:spacing w:before="88" w:line="360" w:lineRule="auto"/>
        <w:ind w:left="22" w:right="194" w:firstLine="415"/>
        <w:rPr>
          <w:color w:val="auto"/>
          <w:spacing w:val="-1"/>
        </w:rPr>
      </w:pPr>
      <w:r>
        <w:rPr>
          <w:color w:val="auto"/>
          <w:spacing w:val="-1"/>
        </w:rPr>
        <w:t>（2）不承担、履行认证合同约定的责任和义务的。</w:t>
      </w:r>
    </w:p>
    <w:p w14:paraId="0E0A14BC">
      <w:pPr>
        <w:pStyle w:val="3"/>
        <w:spacing w:before="88" w:line="360" w:lineRule="auto"/>
        <w:ind w:left="22" w:right="194" w:firstLine="415"/>
        <w:rPr>
          <w:color w:val="auto"/>
          <w:spacing w:val="-1"/>
        </w:rPr>
      </w:pPr>
      <w:r>
        <w:rPr>
          <w:color w:val="auto"/>
          <w:spacing w:val="-1"/>
        </w:rPr>
        <w:t>（3）被有关执法监管部门责令停业整顿的。</w:t>
      </w:r>
    </w:p>
    <w:p w14:paraId="06111327">
      <w:pPr>
        <w:pStyle w:val="3"/>
        <w:spacing w:before="88" w:line="360" w:lineRule="auto"/>
        <w:ind w:left="22" w:right="194" w:firstLine="415"/>
        <w:rPr>
          <w:color w:val="auto"/>
          <w:spacing w:val="-1"/>
        </w:rPr>
      </w:pPr>
      <w:r>
        <w:rPr>
          <w:color w:val="auto"/>
          <w:spacing w:val="-1"/>
        </w:rPr>
        <w:t>（4）被地方认证监管部门发现体系运行存在问题，需要暂停证书的。</w:t>
      </w:r>
    </w:p>
    <w:p w14:paraId="2CBD9F8D">
      <w:pPr>
        <w:pStyle w:val="3"/>
        <w:spacing w:before="88" w:line="360" w:lineRule="auto"/>
        <w:ind w:left="22" w:right="194" w:firstLine="415"/>
        <w:rPr>
          <w:color w:val="auto"/>
          <w:spacing w:val="-1"/>
        </w:rPr>
      </w:pPr>
      <w:r>
        <w:rPr>
          <w:color w:val="auto"/>
          <w:spacing w:val="-1"/>
        </w:rPr>
        <w:t>（5）持有的行政许可证明、资质证书、强制性认证证书等过期失效，重新提交的申请已被受理但尚未换证的。</w:t>
      </w:r>
    </w:p>
    <w:p w14:paraId="397391A0">
      <w:pPr>
        <w:pStyle w:val="3"/>
        <w:spacing w:before="88" w:line="360" w:lineRule="auto"/>
        <w:ind w:left="22" w:right="194" w:firstLine="415"/>
        <w:rPr>
          <w:color w:val="auto"/>
          <w:spacing w:val="-1"/>
        </w:rPr>
      </w:pPr>
      <w:r>
        <w:rPr>
          <w:color w:val="auto"/>
          <w:spacing w:val="-1"/>
        </w:rPr>
        <w:t>（6）主动请求暂停的。</w:t>
      </w:r>
    </w:p>
    <w:p w14:paraId="5708C36A">
      <w:pPr>
        <w:pStyle w:val="3"/>
        <w:spacing w:before="88" w:line="360" w:lineRule="auto"/>
        <w:ind w:left="22" w:right="194" w:firstLine="415"/>
        <w:rPr>
          <w:color w:val="auto"/>
          <w:spacing w:val="-1"/>
        </w:rPr>
      </w:pPr>
      <w:r>
        <w:rPr>
          <w:color w:val="auto"/>
          <w:spacing w:val="-1"/>
        </w:rPr>
        <w:t>（7）其他应当暂停认证证书的。</w:t>
      </w:r>
    </w:p>
    <w:p w14:paraId="38DEC390">
      <w:pPr>
        <w:pStyle w:val="3"/>
        <w:spacing w:before="88" w:line="360" w:lineRule="auto"/>
        <w:ind w:left="22" w:right="194" w:firstLine="415"/>
        <w:rPr>
          <w:color w:val="auto"/>
          <w:spacing w:val="-1"/>
        </w:rPr>
      </w:pPr>
      <w:r>
        <w:rPr>
          <w:color w:val="auto"/>
          <w:spacing w:val="-1"/>
        </w:rPr>
        <w:t>7.2.2 认证证书暂停期不得超过 6 个月。但属于 7.2.1 第（5）项情形的暂停期可至相关单位作出许可决定之日。</w:t>
      </w:r>
    </w:p>
    <w:p w14:paraId="05912F94">
      <w:pPr>
        <w:pStyle w:val="3"/>
        <w:spacing w:before="88" w:line="360" w:lineRule="auto"/>
        <w:ind w:left="22" w:right="194" w:firstLine="415"/>
        <w:rPr>
          <w:color w:val="auto"/>
          <w:spacing w:val="-1"/>
        </w:rPr>
      </w:pPr>
      <w:r>
        <w:rPr>
          <w:color w:val="auto"/>
          <w:spacing w:val="-1"/>
        </w:rPr>
        <w:t>7.2.3 本机构暂停认证证书的信息，应明确暂停的起始日期和暂停期限，并声明在暂停期间获证组织不得以任何方式使用认证证书、认证标识或引用认证信息。</w:t>
      </w:r>
    </w:p>
    <w:p w14:paraId="18A6B5AD">
      <w:pPr>
        <w:pStyle w:val="3"/>
        <w:spacing w:before="88" w:line="360" w:lineRule="auto"/>
        <w:ind w:left="22" w:right="194" w:firstLine="415"/>
        <w:rPr>
          <w:b/>
          <w:bCs/>
          <w:color w:val="auto"/>
          <w:spacing w:val="-1"/>
        </w:rPr>
      </w:pPr>
      <w:r>
        <w:rPr>
          <w:b/>
          <w:bCs/>
          <w:color w:val="auto"/>
          <w:spacing w:val="-1"/>
        </w:rPr>
        <w:t>7.3 撤销证书</w:t>
      </w:r>
    </w:p>
    <w:p w14:paraId="5E7D25A7">
      <w:pPr>
        <w:pStyle w:val="3"/>
        <w:spacing w:before="88" w:line="360" w:lineRule="auto"/>
        <w:ind w:left="22" w:right="194" w:firstLine="415"/>
        <w:rPr>
          <w:color w:val="auto"/>
          <w:spacing w:val="-1"/>
        </w:rPr>
      </w:pPr>
      <w:r>
        <w:rPr>
          <w:color w:val="auto"/>
          <w:spacing w:val="-1"/>
        </w:rPr>
        <w:t>7.3.1 获证组织有以下情形之一的，本机构应在获得相关信息并调查核实后 5 个工作日内撤销其认证证书。</w:t>
      </w:r>
    </w:p>
    <w:p w14:paraId="3262FBCE">
      <w:pPr>
        <w:pStyle w:val="3"/>
        <w:spacing w:before="88" w:line="360" w:lineRule="auto"/>
        <w:ind w:left="22" w:right="194" w:firstLine="415"/>
        <w:rPr>
          <w:color w:val="auto"/>
          <w:spacing w:val="-1"/>
        </w:rPr>
      </w:pPr>
      <w:r>
        <w:rPr>
          <w:color w:val="auto"/>
          <w:spacing w:val="-1"/>
        </w:rPr>
        <w:t>（1）被注销或撤销法律地位证明文件的。</w:t>
      </w:r>
    </w:p>
    <w:p w14:paraId="18BC766B">
      <w:pPr>
        <w:pStyle w:val="3"/>
        <w:spacing w:before="88" w:line="360" w:lineRule="auto"/>
        <w:ind w:left="22" w:right="194" w:firstLine="415"/>
        <w:rPr>
          <w:color w:val="auto"/>
          <w:spacing w:val="-1"/>
        </w:rPr>
      </w:pPr>
      <w:r>
        <w:rPr>
          <w:color w:val="auto"/>
          <w:spacing w:val="-1"/>
        </w:rPr>
        <w:t>（2）拒绝配合认证监管部门实施的监督检查，或者对有关事项的询问和调查提供了虚假材料或信息的。</w:t>
      </w:r>
    </w:p>
    <w:p w14:paraId="3EEBC594">
      <w:pPr>
        <w:pStyle w:val="3"/>
        <w:spacing w:before="88" w:line="360" w:lineRule="auto"/>
        <w:ind w:left="22" w:right="194" w:firstLine="415"/>
        <w:rPr>
          <w:color w:val="auto"/>
          <w:spacing w:val="-1"/>
        </w:rPr>
      </w:pPr>
      <w:r>
        <w:rPr>
          <w:color w:val="auto"/>
          <w:spacing w:val="-1"/>
        </w:rPr>
        <w:t>（3）出现重大的产品或服务等环境污染事故和职业健康安全事故，经执法监管部门确认是获证组织违规造成的。</w:t>
      </w:r>
    </w:p>
    <w:p w14:paraId="379F8758">
      <w:pPr>
        <w:pStyle w:val="3"/>
        <w:spacing w:before="88" w:line="360" w:lineRule="auto"/>
        <w:ind w:left="22" w:right="194" w:firstLine="415"/>
        <w:rPr>
          <w:color w:val="auto"/>
          <w:spacing w:val="-1"/>
        </w:rPr>
      </w:pPr>
      <w:r>
        <w:rPr>
          <w:color w:val="auto"/>
          <w:spacing w:val="-1"/>
        </w:rPr>
        <w:t>（4）有其他严重违反法律法规行为的。</w:t>
      </w:r>
    </w:p>
    <w:p w14:paraId="15540145">
      <w:pPr>
        <w:pStyle w:val="3"/>
        <w:spacing w:before="88" w:line="360" w:lineRule="auto"/>
        <w:ind w:left="22" w:right="194" w:firstLine="415"/>
        <w:rPr>
          <w:color w:val="auto"/>
          <w:spacing w:val="-1"/>
        </w:rPr>
      </w:pPr>
      <w:r>
        <w:rPr>
          <w:color w:val="auto"/>
          <w:spacing w:val="-1"/>
        </w:rPr>
        <w:t>（5）暂停认证证书的期限已满但导致暂停的问题未得到解决或纠正的（包括持有的行政许可证明、资质证书、强制性认证证书、环境和职业健康安全监测等已经过期失效但申请未获批准）。</w:t>
      </w:r>
    </w:p>
    <w:p w14:paraId="018E4E19">
      <w:pPr>
        <w:pStyle w:val="3"/>
        <w:spacing w:before="76" w:line="360" w:lineRule="auto"/>
        <w:ind w:left="440"/>
      </w:pPr>
      <w:r>
        <w:rPr>
          <w:spacing w:val="-3"/>
        </w:rPr>
        <w:t>（6）没有运行有害物质过程管理体系或者已不具备运行条件的。</w:t>
      </w:r>
    </w:p>
    <w:p w14:paraId="77984F41">
      <w:pPr>
        <w:pStyle w:val="3"/>
        <w:spacing w:before="79" w:line="360" w:lineRule="auto"/>
        <w:ind w:left="12" w:right="219" w:firstLine="428"/>
      </w:pPr>
      <w:r>
        <w:rPr>
          <w:spacing w:val="-2"/>
        </w:rPr>
        <w:t>（7）不按相关规定正确引用和宣传获得的认证信息，造成严重影响或后</w:t>
      </w:r>
      <w:r>
        <w:rPr>
          <w:spacing w:val="-3"/>
        </w:rPr>
        <w:t>果，或者本机构已要求其纠</w:t>
      </w:r>
      <w:r>
        <w:rPr>
          <w:spacing w:val="-6"/>
        </w:rPr>
        <w:t>正但超过</w:t>
      </w:r>
      <w:r>
        <w:rPr>
          <w:spacing w:val="-20"/>
        </w:rPr>
        <w:t xml:space="preserve"> </w:t>
      </w:r>
      <w:r>
        <w:rPr>
          <w:spacing w:val="-6"/>
        </w:rPr>
        <w:t>2</w:t>
      </w:r>
      <w:r>
        <w:rPr>
          <w:spacing w:val="-40"/>
        </w:rPr>
        <w:t xml:space="preserve"> </w:t>
      </w:r>
      <w:r>
        <w:rPr>
          <w:spacing w:val="-6"/>
        </w:rPr>
        <w:t>个月仍未纠正的。</w:t>
      </w:r>
    </w:p>
    <w:p w14:paraId="429211B8">
      <w:pPr>
        <w:pStyle w:val="3"/>
        <w:spacing w:before="74" w:line="360" w:lineRule="auto"/>
        <w:ind w:left="440"/>
      </w:pPr>
      <w:r>
        <w:rPr>
          <w:spacing w:val="-4"/>
        </w:rPr>
        <w:t>（8）其他应当撤销认证证书的。</w:t>
      </w:r>
    </w:p>
    <w:p w14:paraId="783CFBA7">
      <w:pPr>
        <w:pStyle w:val="3"/>
        <w:spacing w:before="80" w:line="360" w:lineRule="auto"/>
        <w:ind w:left="439"/>
      </w:pPr>
      <w:r>
        <w:rPr>
          <w:spacing w:val="-5"/>
        </w:rPr>
        <w:t>7.3.2</w:t>
      </w:r>
      <w:r>
        <w:rPr>
          <w:spacing w:val="-28"/>
        </w:rPr>
        <w:t xml:space="preserve"> </w:t>
      </w:r>
      <w:r>
        <w:rPr>
          <w:spacing w:val="-5"/>
        </w:rPr>
        <w:t>撤销认证证书后，本机构应及时收回撤销的认证证书。若无法收回，本机构应及时在相关媒体</w:t>
      </w:r>
      <w:r>
        <w:rPr>
          <w:spacing w:val="-4"/>
        </w:rPr>
        <w:t>和网站上公布或声明撤销决定。</w:t>
      </w:r>
    </w:p>
    <w:p w14:paraId="3F44FC64">
      <w:pPr>
        <w:pStyle w:val="3"/>
        <w:spacing w:before="77" w:line="360" w:lineRule="auto"/>
        <w:ind w:left="438" w:right="17" w:hanging="71"/>
      </w:pPr>
      <w:r>
        <w:rPr>
          <w:spacing w:val="-2"/>
        </w:rPr>
        <w:t>7.4</w:t>
      </w:r>
      <w:r>
        <w:rPr>
          <w:spacing w:val="-34"/>
        </w:rPr>
        <w:t xml:space="preserve"> </w:t>
      </w:r>
      <w:r>
        <w:rPr>
          <w:spacing w:val="-2"/>
        </w:rPr>
        <w:t>本机构暂停或撤销认证证书应当在其网站上公布相关信息，同时按规</w:t>
      </w:r>
      <w:r>
        <w:rPr>
          <w:spacing w:val="-3"/>
        </w:rPr>
        <w:t>定程序和要求报国家认监委。</w:t>
      </w:r>
      <w:r>
        <w:t xml:space="preserve"> </w:t>
      </w:r>
    </w:p>
    <w:p w14:paraId="4FC38390">
      <w:pPr>
        <w:pStyle w:val="3"/>
        <w:spacing w:before="77" w:line="360" w:lineRule="auto"/>
        <w:ind w:left="438" w:right="17" w:hanging="71"/>
      </w:pPr>
      <w:r>
        <w:rPr>
          <w:spacing w:val="-2"/>
        </w:rPr>
        <w:t>7.5</w:t>
      </w:r>
      <w:r>
        <w:rPr>
          <w:spacing w:val="-27"/>
        </w:rPr>
        <w:t xml:space="preserve"> </w:t>
      </w:r>
      <w:r>
        <w:rPr>
          <w:spacing w:val="-2"/>
        </w:rPr>
        <w:t>本机构有义务和责任采取有效措施避免各类无效的认证证书和认证标志被继续使用。</w:t>
      </w:r>
    </w:p>
    <w:p w14:paraId="6D948D6E">
      <w:pPr>
        <w:pStyle w:val="3"/>
        <w:spacing w:before="30" w:line="360" w:lineRule="auto"/>
        <w:rPr>
          <w:b/>
          <w:bCs/>
        </w:rPr>
      </w:pPr>
      <w:r>
        <w:rPr>
          <w:b/>
          <w:bCs/>
          <w:spacing w:val="-5"/>
        </w:rPr>
        <w:t>8</w:t>
      </w:r>
      <w:r>
        <w:rPr>
          <w:b/>
          <w:bCs/>
          <w:spacing w:val="-32"/>
        </w:rPr>
        <w:t xml:space="preserve"> </w:t>
      </w:r>
      <w:r>
        <w:rPr>
          <w:b/>
          <w:bCs/>
          <w:spacing w:val="-5"/>
        </w:rPr>
        <w:t>认证证书要求</w:t>
      </w:r>
    </w:p>
    <w:p w14:paraId="35DD5D27">
      <w:pPr>
        <w:pStyle w:val="3"/>
        <w:spacing w:before="62" w:line="360" w:lineRule="auto"/>
        <w:ind w:left="431"/>
      </w:pPr>
      <w:r>
        <w:rPr>
          <w:spacing w:val="-5"/>
        </w:rPr>
        <w:t>8.1</w:t>
      </w:r>
      <w:r>
        <w:rPr>
          <w:spacing w:val="-24"/>
        </w:rPr>
        <w:t xml:space="preserve"> </w:t>
      </w:r>
      <w:r>
        <w:rPr>
          <w:spacing w:val="-5"/>
        </w:rPr>
        <w:t>认证证书应至少包含以下信息：</w:t>
      </w:r>
    </w:p>
    <w:p w14:paraId="18564227">
      <w:pPr>
        <w:pStyle w:val="3"/>
        <w:spacing w:before="63" w:line="360" w:lineRule="auto"/>
        <w:ind w:left="440"/>
      </w:pPr>
      <w:r>
        <w:rPr>
          <w:spacing w:val="-1"/>
        </w:rPr>
        <w:t>（1）获证组织名称、地址和组织机构代码。该信息应与其法</w:t>
      </w:r>
      <w:r>
        <w:rPr>
          <w:spacing w:val="-2"/>
        </w:rPr>
        <w:t>律地位证明文件的信息一致。</w:t>
      </w:r>
    </w:p>
    <w:p w14:paraId="46B0CC20">
      <w:pPr>
        <w:pStyle w:val="3"/>
        <w:spacing w:before="80" w:line="360" w:lineRule="auto"/>
        <w:ind w:left="13" w:right="181" w:firstLine="426"/>
        <w:rPr>
          <w:rFonts w:hint="eastAsia" w:ascii="宋体" w:hAnsi="宋体" w:eastAsia="宋体" w:cs="宋体"/>
          <w:sz w:val="24"/>
          <w:szCs w:val="24"/>
        </w:rPr>
      </w:pPr>
      <w:r>
        <w:rPr>
          <w:spacing w:val="-2"/>
        </w:rPr>
        <w:t>（2）有害物质过程管理体系覆盖的生产经营或服务的地址和业务范围。若认证的有害物质过程管</w:t>
      </w:r>
      <w:r>
        <w:rPr>
          <w:rFonts w:hint="eastAsia" w:ascii="宋体" w:hAnsi="宋体" w:eastAsia="宋体" w:cs="宋体"/>
          <w:spacing w:val="-2"/>
          <w:sz w:val="24"/>
          <w:szCs w:val="24"/>
        </w:rPr>
        <w:t>理</w:t>
      </w:r>
      <w:r>
        <w:rPr>
          <w:rFonts w:hint="eastAsia" w:ascii="宋体" w:hAnsi="宋体" w:eastAsia="宋体" w:cs="宋体"/>
          <w:spacing w:val="-1"/>
          <w:sz w:val="24"/>
          <w:szCs w:val="24"/>
        </w:rPr>
        <w:t>体系覆盖多场所，表述覆盖的相关场所的名称和地址信息，该信息应与相应的法律</w:t>
      </w:r>
      <w:r>
        <w:rPr>
          <w:rFonts w:hint="eastAsia" w:ascii="宋体" w:hAnsi="宋体" w:eastAsia="宋体" w:cs="宋体"/>
          <w:spacing w:val="-2"/>
          <w:sz w:val="24"/>
          <w:szCs w:val="24"/>
        </w:rPr>
        <w:t>地位证明文件信息一</w:t>
      </w:r>
      <w:r>
        <w:rPr>
          <w:rFonts w:hint="eastAsia" w:ascii="宋体" w:hAnsi="宋体" w:eastAsia="宋体" w:cs="宋体"/>
          <w:sz w:val="24"/>
          <w:szCs w:val="24"/>
        </w:rPr>
        <w:t xml:space="preserve"> </w:t>
      </w:r>
      <w:r>
        <w:rPr>
          <w:rFonts w:hint="eastAsia" w:ascii="宋体" w:hAnsi="宋体" w:eastAsia="宋体" w:cs="宋体"/>
          <w:spacing w:val="-5"/>
          <w:sz w:val="24"/>
          <w:szCs w:val="24"/>
        </w:rPr>
        <w:t>致。</w:t>
      </w:r>
    </w:p>
    <w:p w14:paraId="66D4507A">
      <w:pPr>
        <w:pStyle w:val="3"/>
        <w:spacing w:before="74" w:line="360" w:lineRule="auto"/>
        <w:ind w:left="440"/>
        <w:rPr>
          <w:rFonts w:hint="eastAsia" w:ascii="宋体" w:hAnsi="宋体" w:eastAsia="宋体" w:cs="宋体"/>
          <w:b/>
          <w:bCs/>
          <w:snapToGrid w:val="0"/>
          <w:color w:val="000000"/>
          <w:spacing w:val="-11"/>
          <w:sz w:val="24"/>
          <w:szCs w:val="24"/>
          <w:lang w:val="en-US" w:eastAsia="zh-CN" w:bidi="ar-SA"/>
        </w:rPr>
      </w:pPr>
      <w:r>
        <w:rPr>
          <w:rFonts w:hint="eastAsia" w:ascii="宋体" w:hAnsi="宋体" w:eastAsia="宋体" w:cs="宋体"/>
          <w:spacing w:val="-2"/>
          <w:sz w:val="24"/>
          <w:szCs w:val="24"/>
        </w:rPr>
        <w:t>（3）有害物质过程管理体系符合</w:t>
      </w:r>
      <w:r>
        <w:rPr>
          <w:rFonts w:hint="eastAsia" w:ascii="宋体" w:hAnsi="宋体" w:eastAsia="宋体" w:cs="宋体"/>
          <w:spacing w:val="-47"/>
          <w:sz w:val="24"/>
          <w:szCs w:val="24"/>
        </w:rPr>
        <w:t xml:space="preserve"> </w:t>
      </w:r>
      <w:r>
        <w:rPr>
          <w:rFonts w:hint="eastAsia" w:ascii="宋体" w:hAnsi="宋体" w:eastAsia="宋体" w:cs="宋体"/>
          <w:spacing w:val="-2"/>
          <w:sz w:val="24"/>
          <w:szCs w:val="24"/>
        </w:rPr>
        <w:t>HSPM</w:t>
      </w:r>
      <w:r>
        <w:rPr>
          <w:rFonts w:hint="eastAsia" w:ascii="宋体" w:hAnsi="宋体" w:eastAsia="宋体" w:cs="宋体"/>
          <w:spacing w:val="-35"/>
          <w:sz w:val="24"/>
          <w:szCs w:val="24"/>
        </w:rPr>
        <w:t xml:space="preserve"> </w:t>
      </w:r>
      <w:r>
        <w:rPr>
          <w:rFonts w:hint="eastAsia" w:ascii="宋体" w:hAnsi="宋体" w:eastAsia="宋体" w:cs="宋体"/>
          <w:spacing w:val="-2"/>
          <w:sz w:val="24"/>
          <w:szCs w:val="24"/>
        </w:rPr>
        <w:t>标准的表述。</w:t>
      </w:r>
    </w:p>
    <w:p w14:paraId="41F6587D">
      <w:pPr>
        <w:pStyle w:val="3"/>
        <w:spacing w:before="69" w:line="360" w:lineRule="auto"/>
        <w:ind w:left="440"/>
        <w:rPr>
          <w:rFonts w:hint="eastAsia" w:ascii="宋体" w:hAnsi="宋体" w:eastAsia="宋体" w:cs="宋体"/>
          <w:sz w:val="24"/>
          <w:szCs w:val="24"/>
        </w:rPr>
      </w:pPr>
      <w:r>
        <w:rPr>
          <w:rFonts w:hint="eastAsia" w:ascii="宋体" w:hAnsi="宋体" w:eastAsia="宋体" w:cs="宋体"/>
          <w:spacing w:val="-6"/>
          <w:sz w:val="24"/>
          <w:szCs w:val="24"/>
        </w:rPr>
        <w:t>（4）证书编号。</w:t>
      </w:r>
    </w:p>
    <w:p w14:paraId="7759A540">
      <w:pPr>
        <w:pStyle w:val="3"/>
        <w:spacing w:before="61" w:line="360" w:lineRule="auto"/>
        <w:ind w:left="440"/>
        <w:rPr>
          <w:rFonts w:hint="eastAsia" w:ascii="宋体" w:hAnsi="宋体" w:eastAsia="宋体" w:cs="宋体"/>
          <w:sz w:val="24"/>
          <w:szCs w:val="24"/>
        </w:rPr>
      </w:pPr>
      <w:r>
        <w:rPr>
          <w:rFonts w:hint="eastAsia" w:ascii="宋体" w:hAnsi="宋体" w:eastAsia="宋体" w:cs="宋体"/>
          <w:spacing w:val="-6"/>
          <w:sz w:val="24"/>
          <w:szCs w:val="24"/>
        </w:rPr>
        <w:t>（5）本机构名称。</w:t>
      </w:r>
    </w:p>
    <w:p w14:paraId="0616ADFB">
      <w:pPr>
        <w:pStyle w:val="3"/>
        <w:spacing w:before="41" w:line="360" w:lineRule="auto"/>
        <w:ind w:left="438"/>
        <w:rPr>
          <w:rFonts w:hint="eastAsia" w:ascii="宋体" w:hAnsi="宋体" w:eastAsia="宋体" w:cs="宋体"/>
          <w:sz w:val="24"/>
          <w:szCs w:val="24"/>
        </w:rPr>
      </w:pPr>
      <w:r>
        <w:rPr>
          <w:rFonts w:hint="eastAsia" w:ascii="宋体" w:hAnsi="宋体" w:eastAsia="宋体" w:cs="宋体"/>
          <w:spacing w:val="-4"/>
          <w:sz w:val="24"/>
          <w:szCs w:val="24"/>
        </w:rPr>
        <w:t>（6）证书签发日期及有效期的起止年月日。</w:t>
      </w:r>
    </w:p>
    <w:p w14:paraId="3CA6DEC4">
      <w:pPr>
        <w:pStyle w:val="3"/>
        <w:spacing w:before="61" w:line="360" w:lineRule="auto"/>
        <w:ind w:left="426"/>
        <w:rPr>
          <w:rFonts w:hint="eastAsia" w:ascii="宋体" w:hAnsi="宋体" w:eastAsia="宋体" w:cs="宋体"/>
          <w:sz w:val="24"/>
          <w:szCs w:val="24"/>
        </w:rPr>
      </w:pPr>
      <w:r>
        <w:rPr>
          <w:rFonts w:hint="eastAsia" w:ascii="宋体" w:hAnsi="宋体" w:eastAsia="宋体" w:cs="宋体"/>
          <w:spacing w:val="-1"/>
          <w:sz w:val="24"/>
          <w:szCs w:val="24"/>
        </w:rPr>
        <w:t>对初次认证以来未中断过的再认证证书，可表述该获证组织初次获得认证</w:t>
      </w:r>
      <w:r>
        <w:rPr>
          <w:rFonts w:hint="eastAsia" w:ascii="宋体" w:hAnsi="宋体" w:eastAsia="宋体" w:cs="宋体"/>
          <w:spacing w:val="-2"/>
          <w:sz w:val="24"/>
          <w:szCs w:val="24"/>
        </w:rPr>
        <w:t>证书的年月日。</w:t>
      </w:r>
    </w:p>
    <w:p w14:paraId="430A1717">
      <w:pPr>
        <w:pStyle w:val="3"/>
        <w:spacing w:before="64" w:line="360" w:lineRule="auto"/>
        <w:ind w:left="438"/>
        <w:rPr>
          <w:rFonts w:hint="eastAsia" w:ascii="宋体" w:hAnsi="宋体" w:eastAsia="宋体" w:cs="宋体"/>
          <w:sz w:val="24"/>
          <w:szCs w:val="24"/>
        </w:rPr>
      </w:pPr>
      <w:r>
        <w:rPr>
          <w:rFonts w:hint="eastAsia" w:ascii="宋体" w:hAnsi="宋体" w:eastAsia="宋体" w:cs="宋体"/>
          <w:spacing w:val="-6"/>
          <w:sz w:val="24"/>
          <w:szCs w:val="24"/>
        </w:rPr>
        <w:t>（7）相关的认可标识及认可注册号（适用时）。</w:t>
      </w:r>
    </w:p>
    <w:p w14:paraId="1BB07F78">
      <w:pPr>
        <w:pStyle w:val="3"/>
        <w:spacing w:before="77" w:line="360" w:lineRule="auto"/>
        <w:ind w:left="8" w:firstLine="430"/>
        <w:rPr>
          <w:rFonts w:hint="eastAsia" w:ascii="宋体" w:hAnsi="宋体" w:eastAsia="宋体" w:cs="宋体"/>
          <w:sz w:val="24"/>
          <w:szCs w:val="24"/>
        </w:rPr>
      </w:pPr>
      <w:r>
        <w:rPr>
          <w:rFonts w:hint="eastAsia" w:ascii="宋体" w:hAnsi="宋体" w:eastAsia="宋体" w:cs="宋体"/>
          <w:spacing w:val="-7"/>
          <w:sz w:val="24"/>
          <w:szCs w:val="24"/>
        </w:rPr>
        <w:t>（8）证书查询方式。本机构除公布认证证书在本机构网站</w:t>
      </w:r>
      <w:r>
        <w:rPr>
          <w:rFonts w:hint="eastAsia" w:ascii="宋体" w:hAnsi="宋体" w:eastAsia="宋体" w:cs="宋体"/>
          <w:spacing w:val="-8"/>
          <w:sz w:val="24"/>
          <w:szCs w:val="24"/>
        </w:rPr>
        <w:t>上的查询方式外，</w:t>
      </w:r>
      <w:r>
        <w:rPr>
          <w:rFonts w:hint="eastAsia" w:ascii="宋体" w:hAnsi="宋体" w:eastAsia="宋体" w:cs="宋体"/>
          <w:spacing w:val="-33"/>
          <w:sz w:val="24"/>
          <w:szCs w:val="24"/>
        </w:rPr>
        <w:t xml:space="preserve"> </w:t>
      </w:r>
      <w:r>
        <w:rPr>
          <w:rFonts w:hint="eastAsia" w:ascii="宋体" w:hAnsi="宋体" w:eastAsia="宋体" w:cs="宋体"/>
          <w:spacing w:val="-8"/>
          <w:sz w:val="24"/>
          <w:szCs w:val="24"/>
        </w:rPr>
        <w:t>还应当在证书上注明：“本</w:t>
      </w:r>
      <w:r>
        <w:rPr>
          <w:rFonts w:hint="eastAsia" w:ascii="宋体" w:hAnsi="宋体" w:eastAsia="宋体" w:cs="宋体"/>
          <w:spacing w:val="-2"/>
          <w:sz w:val="24"/>
          <w:szCs w:val="24"/>
        </w:rPr>
        <w:t>证书信息可在国家认证认可监督管理委员会官方网站（w</w:t>
      </w:r>
      <w:r>
        <w:rPr>
          <w:rFonts w:hint="eastAsia" w:ascii="宋体" w:hAnsi="宋体" w:eastAsia="宋体" w:cs="宋体"/>
          <w:spacing w:val="-3"/>
          <w:sz w:val="24"/>
          <w:szCs w:val="24"/>
        </w:rPr>
        <w:t>ww.cnca.gov.cn）上查询”，以便于社会监督。</w:t>
      </w:r>
    </w:p>
    <w:p w14:paraId="3FCCFA9E">
      <w:pPr>
        <w:pStyle w:val="3"/>
        <w:spacing w:before="83" w:line="360" w:lineRule="auto"/>
        <w:ind w:left="429"/>
        <w:rPr>
          <w:rFonts w:hint="eastAsia" w:ascii="宋体" w:hAnsi="宋体" w:eastAsia="宋体" w:cs="宋体"/>
          <w:sz w:val="24"/>
          <w:szCs w:val="24"/>
        </w:rPr>
      </w:pPr>
      <w:r>
        <w:rPr>
          <w:rFonts w:hint="eastAsia" w:ascii="宋体" w:hAnsi="宋体" w:eastAsia="宋体" w:cs="宋体"/>
          <w:spacing w:val="-5"/>
          <w:sz w:val="24"/>
          <w:szCs w:val="24"/>
        </w:rPr>
        <w:t>8.2</w:t>
      </w:r>
      <w:r>
        <w:rPr>
          <w:rFonts w:hint="eastAsia" w:ascii="宋体" w:hAnsi="宋体" w:eastAsia="宋体" w:cs="宋体"/>
          <w:spacing w:val="-25"/>
          <w:sz w:val="24"/>
          <w:szCs w:val="24"/>
        </w:rPr>
        <w:t xml:space="preserve"> </w:t>
      </w:r>
      <w:r>
        <w:rPr>
          <w:rFonts w:hint="eastAsia" w:ascii="宋体" w:hAnsi="宋体" w:eastAsia="宋体" w:cs="宋体"/>
          <w:spacing w:val="-5"/>
          <w:sz w:val="24"/>
          <w:szCs w:val="24"/>
        </w:rPr>
        <w:t>认证证书有效期最长为</w:t>
      </w:r>
      <w:r>
        <w:rPr>
          <w:rFonts w:hint="eastAsia" w:ascii="宋体" w:hAnsi="宋体" w:eastAsia="宋体" w:cs="宋体"/>
          <w:spacing w:val="-30"/>
          <w:sz w:val="24"/>
          <w:szCs w:val="24"/>
        </w:rPr>
        <w:t xml:space="preserve"> </w:t>
      </w:r>
      <w:r>
        <w:rPr>
          <w:rFonts w:hint="eastAsia" w:ascii="宋体" w:hAnsi="宋体" w:eastAsia="宋体" w:cs="宋体"/>
          <w:spacing w:val="-5"/>
          <w:sz w:val="24"/>
          <w:szCs w:val="24"/>
        </w:rPr>
        <w:t>3</w:t>
      </w:r>
      <w:r>
        <w:rPr>
          <w:rFonts w:hint="eastAsia" w:ascii="宋体" w:hAnsi="宋体" w:eastAsia="宋体" w:cs="宋体"/>
          <w:spacing w:val="-37"/>
          <w:sz w:val="24"/>
          <w:szCs w:val="24"/>
        </w:rPr>
        <w:t xml:space="preserve"> </w:t>
      </w:r>
      <w:r>
        <w:rPr>
          <w:rFonts w:hint="eastAsia" w:ascii="宋体" w:hAnsi="宋体" w:eastAsia="宋体" w:cs="宋体"/>
          <w:spacing w:val="-5"/>
          <w:sz w:val="24"/>
          <w:szCs w:val="24"/>
        </w:rPr>
        <w:t>年。</w:t>
      </w:r>
    </w:p>
    <w:p w14:paraId="6A24A22F">
      <w:pPr>
        <w:pStyle w:val="3"/>
        <w:spacing w:before="80" w:line="360" w:lineRule="auto"/>
        <w:ind w:left="23" w:right="4" w:firstLine="405"/>
        <w:rPr>
          <w:rFonts w:hint="eastAsia" w:ascii="宋体" w:hAnsi="宋体" w:eastAsia="宋体" w:cs="宋体"/>
          <w:sz w:val="24"/>
          <w:szCs w:val="24"/>
        </w:rPr>
      </w:pPr>
      <w:r>
        <w:rPr>
          <w:rFonts w:hint="eastAsia" w:ascii="宋体" w:hAnsi="宋体" w:eastAsia="宋体" w:cs="宋体"/>
          <w:spacing w:val="-3"/>
          <w:sz w:val="24"/>
          <w:szCs w:val="24"/>
        </w:rPr>
        <w:t>8.3</w:t>
      </w:r>
      <w:r>
        <w:rPr>
          <w:rFonts w:hint="eastAsia" w:ascii="宋体" w:hAnsi="宋体" w:eastAsia="宋体" w:cs="宋体"/>
          <w:spacing w:val="-22"/>
          <w:sz w:val="24"/>
          <w:szCs w:val="24"/>
        </w:rPr>
        <w:t xml:space="preserve"> </w:t>
      </w:r>
      <w:r>
        <w:rPr>
          <w:rFonts w:hint="eastAsia" w:ascii="宋体" w:hAnsi="宋体" w:eastAsia="宋体" w:cs="宋体"/>
          <w:spacing w:val="-3"/>
          <w:sz w:val="24"/>
          <w:szCs w:val="24"/>
        </w:rPr>
        <w:t>本机构应当建立证书信息披露制度。除向申请组织、认证监管部门等执法监管部门提供认证证书信</w:t>
      </w:r>
      <w:r>
        <w:rPr>
          <w:rFonts w:hint="eastAsia" w:ascii="宋体" w:hAnsi="宋体" w:eastAsia="宋体" w:cs="宋体"/>
          <w:spacing w:val="-2"/>
          <w:sz w:val="24"/>
          <w:szCs w:val="24"/>
        </w:rPr>
        <w:t>息外，还应当根据社会相关方的请求向其提供证书信息，接受社会监督。</w:t>
      </w:r>
    </w:p>
    <w:p w14:paraId="117087C3">
      <w:pPr>
        <w:pStyle w:val="3"/>
        <w:spacing w:before="69" w:line="360" w:lineRule="auto"/>
        <w:rPr>
          <w:rFonts w:hint="eastAsia" w:ascii="宋体" w:hAnsi="宋体" w:eastAsia="宋体" w:cs="宋体"/>
          <w:b/>
          <w:bCs/>
          <w:sz w:val="24"/>
          <w:szCs w:val="24"/>
        </w:rPr>
      </w:pPr>
      <w:r>
        <w:rPr>
          <w:rFonts w:hint="eastAsia" w:ascii="宋体" w:hAnsi="宋体" w:eastAsia="宋体" w:cs="宋体"/>
          <w:b/>
          <w:bCs/>
          <w:spacing w:val="-4"/>
          <w:sz w:val="24"/>
          <w:szCs w:val="24"/>
        </w:rPr>
        <w:t>9</w:t>
      </w:r>
      <w:r>
        <w:rPr>
          <w:rFonts w:hint="eastAsia" w:ascii="宋体" w:hAnsi="宋体" w:eastAsia="宋体" w:cs="宋体"/>
          <w:b/>
          <w:bCs/>
          <w:spacing w:val="-18"/>
          <w:sz w:val="24"/>
          <w:szCs w:val="24"/>
        </w:rPr>
        <w:t xml:space="preserve"> </w:t>
      </w:r>
      <w:r>
        <w:rPr>
          <w:rFonts w:hint="eastAsia" w:ascii="宋体" w:hAnsi="宋体" w:eastAsia="宋体" w:cs="宋体"/>
          <w:b/>
          <w:bCs/>
          <w:spacing w:val="-4"/>
          <w:sz w:val="24"/>
          <w:szCs w:val="24"/>
        </w:rPr>
        <w:t>与其他管理体系的结合审核</w:t>
      </w:r>
    </w:p>
    <w:p w14:paraId="25DF3555">
      <w:pPr>
        <w:pStyle w:val="3"/>
        <w:spacing w:before="78" w:line="360" w:lineRule="auto"/>
        <w:ind w:left="8" w:right="7" w:firstLine="420"/>
        <w:rPr>
          <w:rFonts w:hint="eastAsia" w:ascii="宋体" w:hAnsi="宋体" w:eastAsia="宋体" w:cs="宋体"/>
          <w:sz w:val="24"/>
          <w:szCs w:val="24"/>
        </w:rPr>
      </w:pPr>
      <w:r>
        <w:rPr>
          <w:rFonts w:hint="eastAsia" w:ascii="宋体" w:hAnsi="宋体" w:eastAsia="宋体" w:cs="宋体"/>
          <w:spacing w:val="-2"/>
          <w:sz w:val="24"/>
          <w:szCs w:val="24"/>
        </w:rPr>
        <w:t>9.1 鉴于有害物质过程管理体系</w:t>
      </w:r>
      <w:r>
        <w:rPr>
          <w:rFonts w:hint="eastAsia" w:ascii="宋体" w:hAnsi="宋体" w:eastAsia="宋体" w:cs="宋体"/>
          <w:spacing w:val="-30"/>
          <w:sz w:val="24"/>
          <w:szCs w:val="24"/>
        </w:rPr>
        <w:t xml:space="preserve"> </w:t>
      </w:r>
      <w:r>
        <w:rPr>
          <w:rFonts w:hint="eastAsia" w:ascii="宋体" w:hAnsi="宋体" w:eastAsia="宋体" w:cs="宋体"/>
          <w:spacing w:val="-2"/>
          <w:sz w:val="24"/>
          <w:szCs w:val="24"/>
        </w:rPr>
        <w:t>HSPM 是基 ISO9</w:t>
      </w:r>
      <w:r>
        <w:rPr>
          <w:rFonts w:hint="eastAsia" w:ascii="宋体" w:hAnsi="宋体" w:eastAsia="宋体" w:cs="宋体"/>
          <w:spacing w:val="-3"/>
          <w:sz w:val="24"/>
          <w:szCs w:val="24"/>
        </w:rPr>
        <w:t>001设计的，因此，只要遵守相应的规则，就可以考</w:t>
      </w:r>
      <w:r>
        <w:rPr>
          <w:rFonts w:hint="eastAsia" w:ascii="宋体" w:hAnsi="宋体" w:eastAsia="宋体" w:cs="宋体"/>
          <w:spacing w:val="-5"/>
          <w:sz w:val="24"/>
          <w:szCs w:val="24"/>
        </w:rPr>
        <w:t>虑进行有害物质过程管理体系</w:t>
      </w:r>
      <w:r>
        <w:rPr>
          <w:rFonts w:hint="eastAsia" w:ascii="宋体" w:hAnsi="宋体" w:eastAsia="宋体" w:cs="宋体"/>
          <w:spacing w:val="-27"/>
          <w:sz w:val="24"/>
          <w:szCs w:val="24"/>
        </w:rPr>
        <w:t xml:space="preserve"> </w:t>
      </w:r>
      <w:r>
        <w:rPr>
          <w:rFonts w:hint="eastAsia" w:ascii="宋体" w:hAnsi="宋体" w:eastAsia="宋体" w:cs="宋体"/>
          <w:spacing w:val="-5"/>
          <w:sz w:val="24"/>
          <w:szCs w:val="24"/>
        </w:rPr>
        <w:t>HSPM</w:t>
      </w:r>
      <w:r>
        <w:rPr>
          <w:rFonts w:hint="eastAsia" w:ascii="宋体" w:hAnsi="宋体" w:eastAsia="宋体" w:cs="宋体"/>
          <w:spacing w:val="-38"/>
          <w:sz w:val="24"/>
          <w:szCs w:val="24"/>
        </w:rPr>
        <w:t xml:space="preserve"> </w:t>
      </w:r>
      <w:r>
        <w:rPr>
          <w:rFonts w:hint="eastAsia" w:ascii="宋体" w:hAnsi="宋体" w:eastAsia="宋体" w:cs="宋体"/>
          <w:spacing w:val="-5"/>
          <w:sz w:val="24"/>
          <w:szCs w:val="24"/>
        </w:rPr>
        <w:t>和</w:t>
      </w:r>
      <w:r>
        <w:rPr>
          <w:rFonts w:hint="eastAsia" w:ascii="宋体" w:hAnsi="宋体" w:eastAsia="宋体" w:cs="宋体"/>
          <w:spacing w:val="-42"/>
          <w:sz w:val="24"/>
          <w:szCs w:val="24"/>
        </w:rPr>
        <w:t xml:space="preserve"> </w:t>
      </w:r>
      <w:r>
        <w:rPr>
          <w:rFonts w:hint="eastAsia" w:ascii="宋体" w:hAnsi="宋体" w:eastAsia="宋体" w:cs="宋体"/>
          <w:spacing w:val="-5"/>
          <w:sz w:val="24"/>
          <w:szCs w:val="24"/>
        </w:rPr>
        <w:t>QMS 的结合审核。</w:t>
      </w:r>
    </w:p>
    <w:p w14:paraId="6633B371">
      <w:pPr>
        <w:pStyle w:val="3"/>
        <w:spacing w:before="94" w:line="360" w:lineRule="auto"/>
        <w:ind w:left="24" w:right="111" w:firstLine="404"/>
        <w:rPr>
          <w:rFonts w:hint="eastAsia" w:ascii="宋体" w:hAnsi="宋体" w:eastAsia="宋体" w:cs="宋体"/>
          <w:sz w:val="24"/>
          <w:szCs w:val="24"/>
        </w:rPr>
      </w:pPr>
      <w:r>
        <w:rPr>
          <w:rFonts w:hint="eastAsia" w:ascii="宋体" w:hAnsi="宋体" w:eastAsia="宋体" w:cs="宋体"/>
          <w:spacing w:val="-1"/>
          <w:sz w:val="24"/>
          <w:szCs w:val="24"/>
        </w:rPr>
        <w:t>9.2 对有害物质过程管理体系和其他管理体系实施结合审核时，通用或共性</w:t>
      </w:r>
      <w:r>
        <w:rPr>
          <w:rFonts w:hint="eastAsia" w:ascii="宋体" w:hAnsi="宋体" w:eastAsia="宋体" w:cs="宋体"/>
          <w:spacing w:val="-2"/>
          <w:sz w:val="24"/>
          <w:szCs w:val="24"/>
        </w:rPr>
        <w:t>要求应满足本规则要求，</w:t>
      </w:r>
      <w:r>
        <w:rPr>
          <w:rFonts w:hint="eastAsia" w:ascii="宋体" w:hAnsi="宋体" w:eastAsia="宋体" w:cs="宋体"/>
          <w:spacing w:val="-4"/>
          <w:sz w:val="24"/>
          <w:szCs w:val="24"/>
        </w:rPr>
        <w:t>审核报告中应清晰地体现</w:t>
      </w:r>
      <w:r>
        <w:rPr>
          <w:rFonts w:hint="eastAsia" w:ascii="宋体" w:hAnsi="宋体" w:eastAsia="宋体" w:cs="宋体"/>
          <w:spacing w:val="-28"/>
          <w:sz w:val="24"/>
          <w:szCs w:val="24"/>
        </w:rPr>
        <w:t xml:space="preserve"> </w:t>
      </w:r>
      <w:r>
        <w:rPr>
          <w:rFonts w:hint="eastAsia" w:ascii="宋体" w:hAnsi="宋体" w:eastAsia="宋体" w:cs="宋体"/>
          <w:spacing w:val="-4"/>
          <w:sz w:val="24"/>
          <w:szCs w:val="24"/>
        </w:rPr>
        <w:t>4.4</w:t>
      </w:r>
      <w:r>
        <w:rPr>
          <w:rFonts w:hint="eastAsia" w:ascii="宋体" w:hAnsi="宋体" w:eastAsia="宋体" w:cs="宋体"/>
          <w:spacing w:val="-35"/>
          <w:sz w:val="24"/>
          <w:szCs w:val="24"/>
        </w:rPr>
        <w:t xml:space="preserve"> </w:t>
      </w:r>
      <w:r>
        <w:rPr>
          <w:rFonts w:hint="eastAsia" w:ascii="宋体" w:hAnsi="宋体" w:eastAsia="宋体" w:cs="宋体"/>
          <w:spacing w:val="-4"/>
          <w:sz w:val="24"/>
          <w:szCs w:val="24"/>
        </w:rPr>
        <w:t>条要求，并易于识</w:t>
      </w:r>
      <w:r>
        <w:rPr>
          <w:rFonts w:hint="eastAsia" w:ascii="宋体" w:hAnsi="宋体" w:eastAsia="宋体" w:cs="宋体"/>
          <w:spacing w:val="-5"/>
          <w:sz w:val="24"/>
          <w:szCs w:val="24"/>
        </w:rPr>
        <w:t>别。</w:t>
      </w:r>
    </w:p>
    <w:p w14:paraId="19175ED9">
      <w:pPr>
        <w:pStyle w:val="3"/>
        <w:spacing w:before="46" w:line="360" w:lineRule="auto"/>
        <w:ind w:left="429"/>
        <w:rPr>
          <w:rFonts w:hint="eastAsia" w:ascii="宋体" w:hAnsi="宋体" w:eastAsia="宋体" w:cs="宋体"/>
          <w:sz w:val="24"/>
          <w:szCs w:val="24"/>
        </w:rPr>
      </w:pPr>
      <w:r>
        <w:rPr>
          <w:rFonts w:hint="eastAsia" w:ascii="宋体" w:hAnsi="宋体" w:eastAsia="宋体" w:cs="宋体"/>
          <w:spacing w:val="-3"/>
          <w:sz w:val="24"/>
          <w:szCs w:val="24"/>
        </w:rPr>
        <w:t>9.3 结合审核的审核时间人日数，不得</w:t>
      </w:r>
      <w:r>
        <w:rPr>
          <w:rFonts w:hint="eastAsia" w:ascii="宋体" w:hAnsi="宋体" w:eastAsia="宋体" w:cs="宋体"/>
          <w:spacing w:val="-4"/>
          <w:sz w:val="24"/>
          <w:szCs w:val="24"/>
        </w:rPr>
        <w:t>少于多个单独体系所需审核时间之和的</w:t>
      </w:r>
      <w:r>
        <w:rPr>
          <w:rFonts w:hint="eastAsia" w:ascii="宋体" w:hAnsi="宋体" w:eastAsia="宋体" w:cs="宋体"/>
          <w:spacing w:val="-35"/>
          <w:sz w:val="24"/>
          <w:szCs w:val="24"/>
        </w:rPr>
        <w:t xml:space="preserve"> </w:t>
      </w:r>
      <w:r>
        <w:rPr>
          <w:rFonts w:hint="eastAsia" w:ascii="宋体" w:hAnsi="宋体" w:eastAsia="宋体" w:cs="宋体"/>
          <w:spacing w:val="-4"/>
          <w:sz w:val="24"/>
          <w:szCs w:val="24"/>
        </w:rPr>
        <w:t>80％。</w:t>
      </w:r>
    </w:p>
    <w:p w14:paraId="01A9D3C2">
      <w:pPr>
        <w:pStyle w:val="3"/>
        <w:spacing w:before="69" w:line="360" w:lineRule="auto"/>
        <w:rPr>
          <w:rFonts w:hint="eastAsia" w:ascii="宋体" w:hAnsi="宋体" w:eastAsia="宋体" w:cs="宋体"/>
          <w:b/>
          <w:bCs/>
          <w:sz w:val="24"/>
          <w:szCs w:val="24"/>
        </w:rPr>
      </w:pPr>
      <w:r>
        <w:rPr>
          <w:rFonts w:hint="eastAsia" w:ascii="宋体" w:hAnsi="宋体" w:eastAsia="宋体" w:cs="宋体"/>
          <w:b/>
          <w:bCs/>
          <w:spacing w:val="-7"/>
          <w:sz w:val="24"/>
          <w:szCs w:val="24"/>
        </w:rPr>
        <w:t>10</w:t>
      </w:r>
      <w:r>
        <w:rPr>
          <w:rFonts w:hint="eastAsia" w:ascii="宋体" w:hAnsi="宋体" w:eastAsia="宋体" w:cs="宋体"/>
          <w:b/>
          <w:bCs/>
          <w:spacing w:val="-24"/>
          <w:sz w:val="24"/>
          <w:szCs w:val="24"/>
        </w:rPr>
        <w:t xml:space="preserve"> </w:t>
      </w:r>
      <w:r>
        <w:rPr>
          <w:rFonts w:hint="eastAsia" w:ascii="宋体" w:hAnsi="宋体" w:eastAsia="宋体" w:cs="宋体"/>
          <w:b/>
          <w:bCs/>
          <w:spacing w:val="-7"/>
          <w:sz w:val="24"/>
          <w:szCs w:val="24"/>
        </w:rPr>
        <w:t>受理转换认证证书</w:t>
      </w:r>
    </w:p>
    <w:p w14:paraId="378E859C">
      <w:pPr>
        <w:pStyle w:val="3"/>
        <w:spacing w:before="62" w:line="360" w:lineRule="auto"/>
        <w:ind w:left="458"/>
        <w:rPr>
          <w:rFonts w:hint="eastAsia" w:ascii="宋体" w:hAnsi="宋体" w:eastAsia="宋体" w:cs="宋体"/>
          <w:color w:val="auto"/>
          <w:sz w:val="24"/>
          <w:szCs w:val="24"/>
        </w:rPr>
      </w:pPr>
      <w:r>
        <w:rPr>
          <w:rFonts w:hint="eastAsia" w:ascii="宋体" w:hAnsi="宋体" w:eastAsia="宋体" w:cs="宋体"/>
          <w:color w:val="auto"/>
          <w:spacing w:val="-3"/>
          <w:sz w:val="24"/>
          <w:szCs w:val="24"/>
        </w:rPr>
        <w:t>10.1</w:t>
      </w:r>
      <w:r>
        <w:rPr>
          <w:rFonts w:hint="eastAsia" w:ascii="宋体" w:hAnsi="宋体" w:eastAsia="宋体" w:cs="宋体"/>
          <w:color w:val="auto"/>
          <w:spacing w:val="-24"/>
          <w:sz w:val="24"/>
          <w:szCs w:val="24"/>
        </w:rPr>
        <w:t xml:space="preserve"> </w:t>
      </w:r>
      <w:r>
        <w:rPr>
          <w:rFonts w:hint="eastAsia" w:ascii="宋体" w:hAnsi="宋体" w:eastAsia="宋体" w:cs="宋体"/>
          <w:color w:val="auto"/>
          <w:spacing w:val="-3"/>
          <w:sz w:val="24"/>
          <w:szCs w:val="24"/>
        </w:rPr>
        <w:t>本机构暂不受理有害物质过程管理体系的组织申请认证证书的转换。</w:t>
      </w:r>
    </w:p>
    <w:p w14:paraId="23C63DAD">
      <w:pPr>
        <w:pStyle w:val="3"/>
        <w:spacing w:before="70" w:line="360" w:lineRule="auto"/>
        <w:rPr>
          <w:rFonts w:hint="eastAsia" w:ascii="宋体" w:hAnsi="宋体" w:eastAsia="宋体" w:cs="宋体"/>
          <w:b/>
          <w:bCs/>
          <w:sz w:val="24"/>
          <w:szCs w:val="24"/>
        </w:rPr>
      </w:pPr>
      <w:r>
        <w:rPr>
          <w:rFonts w:hint="eastAsia" w:ascii="宋体" w:hAnsi="宋体" w:eastAsia="宋体" w:cs="宋体"/>
          <w:b/>
          <w:bCs/>
          <w:spacing w:val="-8"/>
          <w:sz w:val="24"/>
          <w:szCs w:val="24"/>
        </w:rPr>
        <w:t>11</w:t>
      </w:r>
      <w:r>
        <w:rPr>
          <w:rFonts w:hint="eastAsia" w:ascii="宋体" w:hAnsi="宋体" w:eastAsia="宋体" w:cs="宋体"/>
          <w:b/>
          <w:bCs/>
          <w:spacing w:val="-20"/>
          <w:sz w:val="24"/>
          <w:szCs w:val="24"/>
        </w:rPr>
        <w:t xml:space="preserve"> </w:t>
      </w:r>
      <w:r>
        <w:rPr>
          <w:rFonts w:hint="eastAsia" w:ascii="宋体" w:hAnsi="宋体" w:eastAsia="宋体" w:cs="宋体"/>
          <w:b/>
          <w:bCs/>
          <w:spacing w:val="-8"/>
          <w:sz w:val="24"/>
          <w:szCs w:val="24"/>
        </w:rPr>
        <w:t>受理组织的申诉</w:t>
      </w:r>
    </w:p>
    <w:p w14:paraId="50D571BD">
      <w:pPr>
        <w:pStyle w:val="3"/>
        <w:spacing w:before="79" w:line="360" w:lineRule="auto"/>
        <w:ind w:left="12" w:right="5" w:firstLine="420"/>
        <w:rPr>
          <w:rFonts w:hint="eastAsia" w:ascii="宋体" w:hAnsi="宋体" w:eastAsia="宋体" w:cs="宋体"/>
          <w:sz w:val="24"/>
          <w:szCs w:val="24"/>
        </w:rPr>
      </w:pPr>
      <w:r>
        <w:rPr>
          <w:rFonts w:hint="eastAsia" w:ascii="宋体" w:hAnsi="宋体" w:eastAsia="宋体" w:cs="宋体"/>
          <w:spacing w:val="-4"/>
          <w:sz w:val="24"/>
          <w:szCs w:val="24"/>
        </w:rPr>
        <w:t>获证组织对认证决定有异议时，本机构应接受获证组织申诉并且及时进行处理，在</w:t>
      </w:r>
      <w:r>
        <w:rPr>
          <w:rFonts w:hint="eastAsia" w:ascii="宋体" w:hAnsi="宋体" w:eastAsia="宋体" w:cs="宋体"/>
          <w:spacing w:val="-24"/>
          <w:sz w:val="24"/>
          <w:szCs w:val="24"/>
        </w:rPr>
        <w:t xml:space="preserve"> </w:t>
      </w:r>
      <w:r>
        <w:rPr>
          <w:rFonts w:hint="eastAsia" w:ascii="宋体" w:hAnsi="宋体" w:eastAsia="宋体" w:cs="宋体"/>
          <w:spacing w:val="-4"/>
          <w:sz w:val="24"/>
          <w:szCs w:val="24"/>
        </w:rPr>
        <w:t>60日内将处理结果形成书面通知送交获证组织。</w:t>
      </w:r>
    </w:p>
    <w:p w14:paraId="71D7AFA9">
      <w:pPr>
        <w:pStyle w:val="3"/>
        <w:spacing w:before="63" w:line="360" w:lineRule="auto"/>
        <w:ind w:left="18" w:right="19" w:firstLine="416"/>
        <w:rPr>
          <w:rFonts w:hint="eastAsia" w:ascii="宋体" w:hAnsi="宋体" w:eastAsia="宋体" w:cs="宋体"/>
          <w:sz w:val="24"/>
          <w:szCs w:val="24"/>
        </w:rPr>
      </w:pPr>
      <w:r>
        <w:rPr>
          <w:rFonts w:hint="eastAsia" w:ascii="宋体" w:hAnsi="宋体" w:eastAsia="宋体" w:cs="宋体"/>
          <w:spacing w:val="1"/>
          <w:sz w:val="24"/>
          <w:szCs w:val="24"/>
        </w:rPr>
        <w:t>书面通知应当告知获证组织，若认为本机构未遵守认证相关法律法</w:t>
      </w:r>
      <w:r>
        <w:rPr>
          <w:rFonts w:hint="eastAsia" w:ascii="宋体" w:hAnsi="宋体" w:eastAsia="宋体" w:cs="宋体"/>
          <w:sz w:val="24"/>
          <w:szCs w:val="24"/>
        </w:rPr>
        <w:t>规或本规则并导致自身合法权益受</w:t>
      </w:r>
      <w:r>
        <w:rPr>
          <w:rFonts w:hint="eastAsia" w:ascii="宋体" w:hAnsi="宋体" w:eastAsia="宋体" w:cs="宋体"/>
          <w:spacing w:val="-1"/>
          <w:sz w:val="24"/>
          <w:szCs w:val="24"/>
        </w:rPr>
        <w:t>到严重侵害的，可以直接向所在地认证监管部门或国家认监委投诉，</w:t>
      </w:r>
      <w:r>
        <w:rPr>
          <w:rFonts w:hint="eastAsia" w:ascii="宋体" w:hAnsi="宋体" w:eastAsia="宋体" w:cs="宋体"/>
          <w:spacing w:val="-2"/>
          <w:sz w:val="24"/>
          <w:szCs w:val="24"/>
        </w:rPr>
        <w:t>也可以向相关认可机构投诉。</w:t>
      </w:r>
    </w:p>
    <w:p w14:paraId="2C2C8F60">
      <w:pPr>
        <w:pStyle w:val="3"/>
        <w:spacing w:before="44" w:line="360" w:lineRule="auto"/>
        <w:rPr>
          <w:rFonts w:hint="eastAsia" w:ascii="宋体" w:hAnsi="宋体" w:eastAsia="宋体" w:cs="宋体"/>
          <w:sz w:val="24"/>
          <w:szCs w:val="24"/>
        </w:rPr>
      </w:pPr>
      <w:r>
        <w:rPr>
          <w:rFonts w:hint="eastAsia" w:ascii="宋体" w:hAnsi="宋体" w:eastAsia="宋体" w:cs="宋体"/>
          <w:b/>
          <w:bCs/>
          <w:spacing w:val="-7"/>
          <w:sz w:val="24"/>
          <w:szCs w:val="24"/>
        </w:rPr>
        <w:t>12</w:t>
      </w:r>
      <w:r>
        <w:rPr>
          <w:rFonts w:hint="eastAsia" w:ascii="宋体" w:hAnsi="宋体" w:eastAsia="宋体" w:cs="宋体"/>
          <w:b/>
          <w:bCs/>
          <w:spacing w:val="-31"/>
          <w:sz w:val="24"/>
          <w:szCs w:val="24"/>
        </w:rPr>
        <w:t xml:space="preserve"> </w:t>
      </w:r>
      <w:r>
        <w:rPr>
          <w:rFonts w:hint="eastAsia" w:cs="宋体"/>
          <w:b/>
          <w:bCs/>
          <w:spacing w:val="-31"/>
          <w:sz w:val="24"/>
          <w:szCs w:val="24"/>
          <w:lang w:val="en-US" w:eastAsia="zh-CN"/>
        </w:rPr>
        <w:t xml:space="preserve"> </w:t>
      </w:r>
      <w:r>
        <w:rPr>
          <w:rFonts w:hint="eastAsia" w:ascii="宋体" w:hAnsi="宋体" w:eastAsia="宋体" w:cs="宋体"/>
          <w:b/>
          <w:bCs/>
          <w:spacing w:val="-7"/>
          <w:sz w:val="24"/>
          <w:szCs w:val="24"/>
        </w:rPr>
        <w:t>认证记录的管理</w:t>
      </w:r>
    </w:p>
    <w:p w14:paraId="79EACEE1">
      <w:pPr>
        <w:pStyle w:val="3"/>
        <w:spacing w:before="61" w:line="360" w:lineRule="auto"/>
        <w:ind w:left="458"/>
        <w:rPr>
          <w:rFonts w:hint="eastAsia" w:ascii="宋体" w:hAnsi="宋体" w:eastAsia="宋体" w:cs="宋体"/>
          <w:sz w:val="24"/>
          <w:szCs w:val="24"/>
        </w:rPr>
      </w:pPr>
      <w:r>
        <w:rPr>
          <w:rFonts w:hint="eastAsia" w:ascii="宋体" w:hAnsi="宋体" w:eastAsia="宋体" w:cs="宋体"/>
          <w:spacing w:val="-3"/>
          <w:sz w:val="24"/>
          <w:szCs w:val="24"/>
        </w:rPr>
        <w:t>12.1</w:t>
      </w:r>
      <w:r>
        <w:rPr>
          <w:rFonts w:hint="eastAsia" w:ascii="宋体" w:hAnsi="宋体" w:eastAsia="宋体" w:cs="宋体"/>
          <w:spacing w:val="-21"/>
          <w:sz w:val="24"/>
          <w:szCs w:val="24"/>
        </w:rPr>
        <w:t xml:space="preserve"> </w:t>
      </w:r>
      <w:r>
        <w:rPr>
          <w:rFonts w:hint="eastAsia" w:ascii="宋体" w:hAnsi="宋体" w:eastAsia="宋体" w:cs="宋体"/>
          <w:spacing w:val="-3"/>
          <w:sz w:val="24"/>
          <w:szCs w:val="24"/>
        </w:rPr>
        <w:t>本机构应当建立认证记录保持制度，记录认证活动全过程并妥善保存。</w:t>
      </w:r>
    </w:p>
    <w:p w14:paraId="0AFE1E5F">
      <w:pPr>
        <w:pStyle w:val="3"/>
        <w:spacing w:before="79" w:line="360" w:lineRule="auto"/>
        <w:ind w:left="8" w:right="5" w:firstLine="450"/>
        <w:rPr>
          <w:rFonts w:hint="eastAsia" w:ascii="宋体" w:hAnsi="宋体" w:eastAsia="宋体" w:cs="宋体"/>
          <w:sz w:val="24"/>
          <w:szCs w:val="24"/>
        </w:rPr>
      </w:pPr>
      <w:r>
        <w:rPr>
          <w:rFonts w:hint="eastAsia" w:ascii="宋体" w:hAnsi="宋体" w:eastAsia="宋体" w:cs="宋体"/>
          <w:spacing w:val="-2"/>
          <w:sz w:val="24"/>
          <w:szCs w:val="24"/>
        </w:rPr>
        <w:t>12.2 记录应当真实准确以证实认证活动得到有效实施。记录资料应当使用中文，保存时间至少应当与</w:t>
      </w:r>
      <w:r>
        <w:rPr>
          <w:rFonts w:hint="eastAsia" w:ascii="宋体" w:hAnsi="宋体" w:eastAsia="宋体" w:cs="宋体"/>
          <w:spacing w:val="-4"/>
          <w:sz w:val="24"/>
          <w:szCs w:val="24"/>
        </w:rPr>
        <w:t>认证证书有效期一致。</w:t>
      </w:r>
    </w:p>
    <w:p w14:paraId="38A0A9FE">
      <w:pPr>
        <w:pStyle w:val="3"/>
        <w:spacing w:before="76" w:line="360" w:lineRule="auto"/>
        <w:ind w:left="458"/>
        <w:rPr>
          <w:rFonts w:hint="eastAsia" w:ascii="宋体" w:hAnsi="宋体" w:eastAsia="宋体" w:cs="宋体"/>
          <w:sz w:val="24"/>
          <w:szCs w:val="24"/>
        </w:rPr>
      </w:pPr>
      <w:r>
        <w:rPr>
          <w:rFonts w:hint="eastAsia" w:ascii="宋体" w:hAnsi="宋体" w:eastAsia="宋体" w:cs="宋体"/>
          <w:spacing w:val="-4"/>
          <w:sz w:val="24"/>
          <w:szCs w:val="24"/>
        </w:rPr>
        <w:t>12.3 以电子文档方式保存记录的，应采用不可编辑的电子文档格式。</w:t>
      </w:r>
    </w:p>
    <w:p w14:paraId="18597126">
      <w:pPr>
        <w:pStyle w:val="3"/>
        <w:spacing w:before="63" w:line="360" w:lineRule="auto"/>
        <w:rPr>
          <w:rFonts w:hint="eastAsia" w:ascii="宋体" w:hAnsi="宋体" w:eastAsia="宋体" w:cs="宋体"/>
          <w:b/>
          <w:bCs/>
          <w:sz w:val="24"/>
          <w:szCs w:val="24"/>
        </w:rPr>
      </w:pPr>
      <w:r>
        <w:rPr>
          <w:rFonts w:hint="eastAsia" w:ascii="宋体" w:hAnsi="宋体" w:eastAsia="宋体" w:cs="宋体"/>
          <w:b/>
          <w:bCs/>
          <w:spacing w:val="-10"/>
          <w:sz w:val="24"/>
          <w:szCs w:val="24"/>
        </w:rPr>
        <w:t>13</w:t>
      </w:r>
      <w:r>
        <w:rPr>
          <w:rFonts w:hint="eastAsia" w:ascii="宋体" w:hAnsi="宋体" w:eastAsia="宋体" w:cs="宋体"/>
          <w:b/>
          <w:bCs/>
          <w:spacing w:val="-41"/>
          <w:sz w:val="24"/>
          <w:szCs w:val="24"/>
        </w:rPr>
        <w:t xml:space="preserve"> </w:t>
      </w:r>
      <w:r>
        <w:rPr>
          <w:rFonts w:hint="eastAsia" w:cs="宋体"/>
          <w:b/>
          <w:bCs/>
          <w:spacing w:val="-41"/>
          <w:sz w:val="24"/>
          <w:szCs w:val="24"/>
          <w:lang w:val="en-US" w:eastAsia="zh-CN"/>
        </w:rPr>
        <w:t xml:space="preserve"> </w:t>
      </w:r>
      <w:r>
        <w:rPr>
          <w:rFonts w:hint="eastAsia" w:ascii="宋体" w:hAnsi="宋体" w:eastAsia="宋体" w:cs="宋体"/>
          <w:b/>
          <w:bCs/>
          <w:spacing w:val="-10"/>
          <w:sz w:val="24"/>
          <w:szCs w:val="24"/>
        </w:rPr>
        <w:t>其他</w:t>
      </w:r>
    </w:p>
    <w:p w14:paraId="53A9D172">
      <w:pPr>
        <w:pStyle w:val="3"/>
        <w:spacing w:before="78" w:line="360" w:lineRule="auto"/>
        <w:ind w:right="5" w:firstLine="464" w:firstLineChars="200"/>
        <w:rPr>
          <w:rFonts w:hint="eastAsia" w:ascii="宋体" w:hAnsi="宋体" w:eastAsia="宋体" w:cs="宋体"/>
          <w:sz w:val="24"/>
          <w:szCs w:val="24"/>
        </w:rPr>
      </w:pPr>
      <w:r>
        <w:rPr>
          <w:rFonts w:hint="eastAsia" w:ascii="宋体" w:hAnsi="宋体" w:eastAsia="宋体" w:cs="宋体"/>
          <w:spacing w:val="-4"/>
          <w:sz w:val="24"/>
          <w:szCs w:val="24"/>
        </w:rPr>
        <w:t>13.1</w:t>
      </w:r>
      <w:r>
        <w:rPr>
          <w:rFonts w:hint="eastAsia" w:ascii="宋体" w:hAnsi="宋体" w:eastAsia="宋体" w:cs="宋体"/>
          <w:spacing w:val="-19"/>
          <w:sz w:val="24"/>
          <w:szCs w:val="24"/>
        </w:rPr>
        <w:t xml:space="preserve"> </w:t>
      </w:r>
      <w:r>
        <w:rPr>
          <w:rFonts w:hint="eastAsia" w:ascii="宋体" w:hAnsi="宋体" w:eastAsia="宋体" w:cs="宋体"/>
          <w:spacing w:val="-4"/>
          <w:sz w:val="24"/>
          <w:szCs w:val="24"/>
        </w:rPr>
        <w:t>本规则内容提及</w:t>
      </w:r>
      <w:r>
        <w:rPr>
          <w:rFonts w:hint="eastAsia" w:ascii="宋体" w:hAnsi="宋体" w:eastAsia="宋体" w:cs="宋体"/>
          <w:spacing w:val="-47"/>
          <w:sz w:val="24"/>
          <w:szCs w:val="24"/>
        </w:rPr>
        <w:t xml:space="preserve"> </w:t>
      </w:r>
      <w:r>
        <w:rPr>
          <w:rFonts w:hint="eastAsia" w:ascii="宋体" w:hAnsi="宋体" w:eastAsia="宋体" w:cs="宋体"/>
          <w:spacing w:val="-4"/>
          <w:sz w:val="24"/>
          <w:szCs w:val="24"/>
        </w:rPr>
        <w:t>HSPM</w:t>
      </w:r>
      <w:r>
        <w:rPr>
          <w:rFonts w:hint="eastAsia" w:ascii="宋体" w:hAnsi="宋体" w:eastAsia="宋体" w:cs="宋体"/>
          <w:spacing w:val="-37"/>
          <w:sz w:val="24"/>
          <w:szCs w:val="24"/>
        </w:rPr>
        <w:t xml:space="preserve"> </w:t>
      </w:r>
      <w:r>
        <w:rPr>
          <w:rFonts w:hint="eastAsia" w:ascii="宋体" w:hAnsi="宋体" w:eastAsia="宋体" w:cs="宋体"/>
          <w:spacing w:val="-4"/>
          <w:sz w:val="24"/>
          <w:szCs w:val="24"/>
        </w:rPr>
        <w:t>标准时均指认证活动发生时该标准的有效版本。认证活动及认证证书中描述</w:t>
      </w:r>
      <w:r>
        <w:rPr>
          <w:rFonts w:hint="eastAsia" w:ascii="宋体" w:hAnsi="宋体" w:eastAsia="宋体" w:cs="宋体"/>
          <w:spacing w:val="-3"/>
          <w:sz w:val="24"/>
          <w:szCs w:val="24"/>
        </w:rPr>
        <w:t>该标准号时，应采用当时有效版本的完整标准号。</w:t>
      </w:r>
    </w:p>
    <w:p w14:paraId="7D9165E9">
      <w:pPr>
        <w:pStyle w:val="3"/>
        <w:spacing w:before="94" w:line="360" w:lineRule="auto"/>
        <w:ind w:right="6" w:firstLine="472" w:firstLineChars="200"/>
        <w:rPr>
          <w:rFonts w:hint="eastAsia" w:ascii="宋体" w:hAnsi="宋体" w:eastAsia="宋体" w:cs="宋体"/>
          <w:sz w:val="24"/>
          <w:szCs w:val="24"/>
        </w:rPr>
      </w:pPr>
      <w:r>
        <w:rPr>
          <w:rFonts w:hint="eastAsia" w:ascii="宋体" w:hAnsi="宋体" w:eastAsia="宋体" w:cs="宋体"/>
          <w:spacing w:val="-2"/>
          <w:sz w:val="24"/>
          <w:szCs w:val="24"/>
        </w:rPr>
        <w:t>13.2 本规则所提及的各类证明文件的复印件应是在原件上复印的，并经复印件提供者签章（签字）认</w:t>
      </w:r>
      <w:r>
        <w:rPr>
          <w:rFonts w:hint="eastAsia" w:ascii="宋体" w:hAnsi="宋体" w:eastAsia="宋体" w:cs="宋体"/>
          <w:spacing w:val="-5"/>
          <w:sz w:val="24"/>
          <w:szCs w:val="24"/>
        </w:rPr>
        <w:t>可其与原件一致。</w:t>
      </w:r>
    </w:p>
    <w:p w14:paraId="69331FFE">
      <w:pPr>
        <w:spacing w:line="360" w:lineRule="auto"/>
        <w:ind w:firstLine="472" w:firstLineChars="200"/>
        <w:rPr>
          <w:rFonts w:hint="eastAsia" w:ascii="宋体" w:hAnsi="宋体" w:eastAsia="宋体" w:cs="宋体"/>
          <w:b/>
          <w:bCs/>
          <w:snapToGrid w:val="0"/>
          <w:color w:val="000000"/>
          <w:spacing w:val="-11"/>
          <w:sz w:val="24"/>
          <w:szCs w:val="24"/>
          <w:lang w:val="en-US" w:eastAsia="zh-CN" w:bidi="ar-SA"/>
        </w:rPr>
      </w:pPr>
      <w:r>
        <w:rPr>
          <w:rFonts w:hint="eastAsia" w:ascii="宋体" w:hAnsi="宋体" w:eastAsia="宋体" w:cs="宋体"/>
          <w:spacing w:val="-2"/>
          <w:sz w:val="24"/>
          <w:szCs w:val="24"/>
        </w:rPr>
        <w:t>13.3 本机构可采取必要措施帮助组织开展有害物质过程管理体系及相关技术标准的宣贯培训，促使组</w:t>
      </w:r>
      <w:r>
        <w:rPr>
          <w:rFonts w:hint="eastAsia" w:ascii="宋体" w:hAnsi="宋体" w:eastAsia="宋体" w:cs="宋体"/>
          <w:spacing w:val="-3"/>
          <w:sz w:val="24"/>
          <w:szCs w:val="24"/>
        </w:rPr>
        <w:t>织的全体员工正确理解和执行有害物质过程管理体系标准。</w:t>
      </w:r>
    </w:p>
    <w:p w14:paraId="5404DA20">
      <w:pPr>
        <w:spacing w:line="360" w:lineRule="auto"/>
        <w:rPr>
          <w:rFonts w:hint="default" w:ascii="黑体" w:hAnsi="黑体" w:eastAsia="黑体" w:cs="黑体"/>
          <w:b/>
          <w:bCs/>
          <w:snapToGrid w:val="0"/>
          <w:color w:val="000000"/>
          <w:spacing w:val="-11"/>
          <w:sz w:val="24"/>
          <w:szCs w:val="24"/>
          <w:lang w:val="en-US" w:eastAsia="zh-CN" w:bidi="ar-SA"/>
        </w:rPr>
      </w:pPr>
    </w:p>
    <w:p w14:paraId="597ADFB8">
      <w:pPr>
        <w:spacing w:line="360" w:lineRule="auto"/>
        <w:rPr>
          <w:rFonts w:hint="default" w:ascii="黑体" w:hAnsi="黑体" w:eastAsia="黑体" w:cs="黑体"/>
          <w:b/>
          <w:bCs/>
          <w:snapToGrid w:val="0"/>
          <w:color w:val="000000"/>
          <w:spacing w:val="-11"/>
          <w:sz w:val="24"/>
          <w:szCs w:val="24"/>
          <w:lang w:val="en-US" w:eastAsia="zh-CN" w:bidi="ar-SA"/>
        </w:rPr>
      </w:pPr>
    </w:p>
    <w:p w14:paraId="59719B0A">
      <w:pPr>
        <w:spacing w:line="360" w:lineRule="auto"/>
        <w:rPr>
          <w:rFonts w:hint="default" w:ascii="黑体" w:hAnsi="黑体" w:eastAsia="黑体" w:cs="黑体"/>
          <w:b/>
          <w:bCs/>
          <w:snapToGrid w:val="0"/>
          <w:color w:val="000000"/>
          <w:spacing w:val="-11"/>
          <w:sz w:val="24"/>
          <w:szCs w:val="24"/>
          <w:lang w:val="en-US" w:eastAsia="zh-CN" w:bidi="ar-SA"/>
        </w:rPr>
      </w:pPr>
    </w:p>
    <w:p w14:paraId="2597E37F">
      <w:pPr>
        <w:spacing w:line="360" w:lineRule="auto"/>
        <w:rPr>
          <w:rFonts w:hint="default" w:ascii="黑体" w:hAnsi="黑体" w:eastAsia="黑体" w:cs="黑体"/>
          <w:b/>
          <w:bCs/>
          <w:snapToGrid w:val="0"/>
          <w:color w:val="000000"/>
          <w:spacing w:val="-11"/>
          <w:sz w:val="24"/>
          <w:szCs w:val="24"/>
          <w:lang w:val="en-US" w:eastAsia="zh-CN" w:bidi="ar-SA"/>
        </w:rPr>
      </w:pPr>
    </w:p>
    <w:p w14:paraId="12D4FF00">
      <w:pPr>
        <w:spacing w:line="360" w:lineRule="auto"/>
        <w:rPr>
          <w:rFonts w:hint="default" w:ascii="黑体" w:hAnsi="黑体" w:eastAsia="黑体" w:cs="黑体"/>
          <w:b/>
          <w:bCs/>
          <w:snapToGrid w:val="0"/>
          <w:color w:val="000000"/>
          <w:spacing w:val="-11"/>
          <w:sz w:val="24"/>
          <w:szCs w:val="24"/>
          <w:lang w:val="en-US" w:eastAsia="zh-CN" w:bidi="ar-SA"/>
        </w:rPr>
      </w:pPr>
    </w:p>
    <w:p w14:paraId="7678B913">
      <w:pPr>
        <w:spacing w:line="360" w:lineRule="auto"/>
        <w:rPr>
          <w:rFonts w:hint="default" w:ascii="黑体" w:hAnsi="黑体" w:eastAsia="黑体" w:cs="黑体"/>
          <w:b/>
          <w:bCs/>
          <w:snapToGrid w:val="0"/>
          <w:color w:val="000000"/>
          <w:spacing w:val="-11"/>
          <w:sz w:val="24"/>
          <w:szCs w:val="24"/>
          <w:lang w:val="en-US" w:eastAsia="zh-CN" w:bidi="ar-SA"/>
        </w:rPr>
      </w:pPr>
    </w:p>
    <w:p w14:paraId="1472A6F9">
      <w:pPr>
        <w:spacing w:line="360" w:lineRule="auto"/>
        <w:rPr>
          <w:rFonts w:hint="default" w:ascii="黑体" w:hAnsi="黑体" w:eastAsia="黑体" w:cs="黑体"/>
          <w:b/>
          <w:bCs/>
          <w:snapToGrid w:val="0"/>
          <w:color w:val="000000"/>
          <w:spacing w:val="-11"/>
          <w:sz w:val="24"/>
          <w:szCs w:val="24"/>
          <w:lang w:val="en-US" w:eastAsia="zh-CN" w:bidi="ar-SA"/>
        </w:rPr>
      </w:pPr>
    </w:p>
    <w:p w14:paraId="5A46D7B3">
      <w:pPr>
        <w:spacing w:line="360" w:lineRule="auto"/>
        <w:rPr>
          <w:rFonts w:hint="default" w:ascii="黑体" w:hAnsi="黑体" w:eastAsia="黑体" w:cs="黑体"/>
          <w:b/>
          <w:bCs/>
          <w:snapToGrid w:val="0"/>
          <w:color w:val="000000"/>
          <w:spacing w:val="-11"/>
          <w:sz w:val="24"/>
          <w:szCs w:val="24"/>
          <w:lang w:val="en-US" w:eastAsia="zh-CN" w:bidi="ar-SA"/>
        </w:rPr>
      </w:pPr>
    </w:p>
    <w:p w14:paraId="721A40FF">
      <w:pPr>
        <w:spacing w:line="360" w:lineRule="auto"/>
        <w:rPr>
          <w:rFonts w:hint="default" w:ascii="黑体" w:hAnsi="黑体" w:eastAsia="黑体" w:cs="黑体"/>
          <w:b/>
          <w:bCs/>
          <w:snapToGrid w:val="0"/>
          <w:color w:val="000000"/>
          <w:spacing w:val="-11"/>
          <w:sz w:val="24"/>
          <w:szCs w:val="24"/>
          <w:lang w:val="en-US" w:eastAsia="zh-CN" w:bidi="ar-SA"/>
        </w:rPr>
      </w:pPr>
    </w:p>
    <w:p w14:paraId="1FEE73DD">
      <w:pPr>
        <w:spacing w:line="360" w:lineRule="auto"/>
        <w:rPr>
          <w:rFonts w:hint="default" w:ascii="黑体" w:hAnsi="黑体" w:eastAsia="黑体" w:cs="黑体"/>
          <w:b/>
          <w:bCs/>
          <w:snapToGrid w:val="0"/>
          <w:color w:val="000000"/>
          <w:spacing w:val="-11"/>
          <w:sz w:val="24"/>
          <w:szCs w:val="24"/>
          <w:lang w:val="en-US" w:eastAsia="zh-CN" w:bidi="ar-SA"/>
        </w:rPr>
      </w:pPr>
    </w:p>
    <w:p w14:paraId="6F6B0C9D">
      <w:pPr>
        <w:spacing w:line="360" w:lineRule="auto"/>
        <w:rPr>
          <w:rFonts w:hint="default" w:ascii="黑体" w:hAnsi="黑体" w:eastAsia="黑体" w:cs="黑体"/>
          <w:b/>
          <w:bCs/>
          <w:snapToGrid w:val="0"/>
          <w:color w:val="000000"/>
          <w:spacing w:val="-11"/>
          <w:sz w:val="24"/>
          <w:szCs w:val="24"/>
          <w:lang w:val="en-US" w:eastAsia="zh-CN" w:bidi="ar-SA"/>
        </w:rPr>
      </w:pPr>
    </w:p>
    <w:p w14:paraId="7DE474BA">
      <w:pPr>
        <w:spacing w:line="360" w:lineRule="auto"/>
        <w:rPr>
          <w:rFonts w:hint="default" w:ascii="黑体" w:hAnsi="黑体" w:eastAsia="黑体" w:cs="黑体"/>
          <w:b/>
          <w:bCs/>
          <w:snapToGrid w:val="0"/>
          <w:color w:val="000000"/>
          <w:spacing w:val="-11"/>
          <w:sz w:val="24"/>
          <w:szCs w:val="24"/>
          <w:lang w:val="en-US" w:eastAsia="zh-CN" w:bidi="ar-SA"/>
        </w:rPr>
      </w:pPr>
    </w:p>
    <w:p w14:paraId="633C9D08">
      <w:pPr>
        <w:spacing w:before="144" w:line="360" w:lineRule="auto"/>
        <w:rPr>
          <w:rFonts w:hint="eastAsia" w:ascii="宋体" w:hAnsi="宋体" w:eastAsia="宋体" w:cs="宋体"/>
          <w:b/>
          <w:bCs/>
          <w:sz w:val="28"/>
          <w:szCs w:val="28"/>
        </w:rPr>
      </w:pPr>
      <w:r>
        <w:rPr>
          <w:rFonts w:hint="eastAsia" w:ascii="宋体" w:hAnsi="宋体" w:eastAsia="宋体" w:cs="宋体"/>
          <w:b/>
          <w:bCs/>
          <w:spacing w:val="-14"/>
          <w:sz w:val="28"/>
          <w:szCs w:val="28"/>
        </w:rPr>
        <w:t>附录</w:t>
      </w:r>
      <w:r>
        <w:rPr>
          <w:rFonts w:hint="eastAsia" w:ascii="宋体" w:hAnsi="宋体" w:eastAsia="宋体" w:cs="宋体"/>
          <w:b/>
          <w:bCs/>
          <w:spacing w:val="-82"/>
          <w:sz w:val="28"/>
          <w:szCs w:val="28"/>
        </w:rPr>
        <w:t xml:space="preserve"> </w:t>
      </w:r>
      <w:r>
        <w:rPr>
          <w:rFonts w:hint="eastAsia" w:ascii="宋体" w:hAnsi="宋体" w:eastAsia="宋体" w:cs="宋体"/>
          <w:b/>
          <w:bCs/>
          <w:spacing w:val="-14"/>
          <w:sz w:val="28"/>
          <w:szCs w:val="28"/>
        </w:rPr>
        <w:t>A</w:t>
      </w:r>
    </w:p>
    <w:p w14:paraId="1374F609">
      <w:pPr>
        <w:pStyle w:val="3"/>
        <w:spacing w:before="272" w:line="360" w:lineRule="auto"/>
        <w:ind w:left="679" w:right="1691" w:firstLine="1216"/>
        <w:rPr>
          <w:rFonts w:hint="eastAsia" w:ascii="宋体" w:hAnsi="宋体" w:eastAsia="宋体" w:cs="宋体"/>
          <w:spacing w:val="2"/>
          <w:sz w:val="28"/>
          <w:szCs w:val="28"/>
        </w:rPr>
      </w:pPr>
      <w:r>
        <w:rPr>
          <w:rFonts w:hint="eastAsia" w:ascii="宋体" w:hAnsi="宋体" w:eastAsia="宋体" w:cs="宋体"/>
          <w:b/>
          <w:bCs/>
          <w:spacing w:val="-2"/>
          <w:sz w:val="28"/>
          <w:szCs w:val="28"/>
        </w:rPr>
        <w:t>有害物质过程管理体系认证审核时间要求</w:t>
      </w:r>
      <w:r>
        <w:rPr>
          <w:rFonts w:hint="eastAsia" w:ascii="宋体" w:hAnsi="宋体" w:eastAsia="宋体" w:cs="宋体"/>
          <w:spacing w:val="2"/>
          <w:sz w:val="28"/>
          <w:szCs w:val="28"/>
        </w:rPr>
        <w:t xml:space="preserve"> </w:t>
      </w:r>
    </w:p>
    <w:p w14:paraId="72B31659">
      <w:pPr>
        <w:pStyle w:val="3"/>
        <w:spacing w:before="78" w:line="360" w:lineRule="auto"/>
        <w:ind w:right="5" w:firstLine="232" w:firstLineChars="100"/>
        <w:rPr>
          <w:rFonts w:hint="eastAsia" w:ascii="宋体" w:hAnsi="宋体" w:eastAsia="宋体" w:cs="宋体"/>
          <w:spacing w:val="-4"/>
          <w:sz w:val="24"/>
          <w:szCs w:val="24"/>
        </w:rPr>
      </w:pPr>
      <w:r>
        <w:rPr>
          <w:rFonts w:hint="eastAsia" w:ascii="宋体" w:hAnsi="宋体" w:eastAsia="宋体" w:cs="宋体"/>
          <w:spacing w:val="-4"/>
          <w:sz w:val="24"/>
          <w:szCs w:val="24"/>
        </w:rPr>
        <w:t>增加或减少以下所示的时间时，考虑以下可能会因素：</w:t>
      </w:r>
    </w:p>
    <w:p w14:paraId="1B56AFFE">
      <w:pPr>
        <w:pStyle w:val="3"/>
        <w:spacing w:before="78" w:line="360" w:lineRule="auto"/>
        <w:ind w:left="14" w:right="5" w:firstLine="444"/>
        <w:rPr>
          <w:rFonts w:hint="eastAsia" w:ascii="宋体" w:hAnsi="宋体" w:eastAsia="宋体" w:cs="宋体"/>
          <w:spacing w:val="-4"/>
          <w:sz w:val="24"/>
          <w:szCs w:val="24"/>
        </w:rPr>
      </w:pPr>
      <w:r>
        <w:rPr>
          <w:rFonts w:hint="eastAsia" w:ascii="宋体" w:hAnsi="宋体" w:eastAsia="宋体" w:cs="宋体"/>
          <w:spacing w:val="-4"/>
          <w:sz w:val="24"/>
          <w:szCs w:val="24"/>
        </w:rPr>
        <w:t xml:space="preserve">• 业务类型 </w:t>
      </w:r>
    </w:p>
    <w:p w14:paraId="452CFE0F">
      <w:pPr>
        <w:pStyle w:val="3"/>
        <w:spacing w:before="78" w:line="360" w:lineRule="auto"/>
        <w:ind w:left="14" w:right="5" w:firstLine="444"/>
        <w:rPr>
          <w:rFonts w:hint="eastAsia" w:ascii="宋体" w:hAnsi="宋体" w:eastAsia="宋体" w:cs="宋体"/>
          <w:spacing w:val="-4"/>
          <w:sz w:val="24"/>
          <w:szCs w:val="24"/>
        </w:rPr>
      </w:pPr>
      <w:r>
        <w:rPr>
          <w:rFonts w:hint="eastAsia" w:ascii="宋体" w:hAnsi="宋体" w:eastAsia="宋体" w:cs="宋体"/>
          <w:spacing w:val="-4"/>
          <w:sz w:val="24"/>
          <w:szCs w:val="24"/>
        </w:rPr>
        <w:t>• 复杂性</w:t>
      </w:r>
    </w:p>
    <w:p w14:paraId="16A40BAE">
      <w:pPr>
        <w:pStyle w:val="3"/>
        <w:spacing w:before="78" w:line="360" w:lineRule="auto"/>
        <w:ind w:left="14" w:right="5" w:firstLine="444"/>
        <w:rPr>
          <w:rFonts w:hint="eastAsia" w:ascii="宋体" w:hAnsi="宋体" w:eastAsia="宋体" w:cs="宋体"/>
          <w:spacing w:val="-4"/>
          <w:sz w:val="24"/>
          <w:szCs w:val="24"/>
        </w:rPr>
      </w:pPr>
      <w:r>
        <w:rPr>
          <w:rFonts w:hint="eastAsia" w:ascii="宋体" w:hAnsi="宋体" w:eastAsia="宋体" w:cs="宋体"/>
          <w:spacing w:val="-4"/>
          <w:sz w:val="24"/>
          <w:szCs w:val="24"/>
        </w:rPr>
        <w:t>• 物流</w:t>
      </w:r>
    </w:p>
    <w:p w14:paraId="63E260EC">
      <w:pPr>
        <w:pStyle w:val="3"/>
        <w:spacing w:before="78" w:line="360" w:lineRule="auto"/>
        <w:ind w:left="14" w:right="5" w:firstLine="444"/>
        <w:rPr>
          <w:rFonts w:hint="eastAsia" w:ascii="宋体" w:hAnsi="宋体" w:eastAsia="宋体" w:cs="宋体"/>
          <w:spacing w:val="-4"/>
          <w:sz w:val="24"/>
          <w:szCs w:val="24"/>
        </w:rPr>
      </w:pPr>
      <w:r>
        <w:rPr>
          <w:rFonts w:hint="eastAsia" w:ascii="宋体" w:hAnsi="宋体" w:eastAsia="宋体" w:cs="宋体"/>
          <w:spacing w:val="-4"/>
          <w:sz w:val="24"/>
          <w:szCs w:val="24"/>
        </w:rPr>
        <w:t xml:space="preserve">• 多个或单个过程 </w:t>
      </w:r>
    </w:p>
    <w:p w14:paraId="2A801AAF">
      <w:pPr>
        <w:pStyle w:val="3"/>
        <w:spacing w:before="78" w:line="360" w:lineRule="auto"/>
        <w:ind w:left="14" w:right="5" w:firstLine="444"/>
        <w:rPr>
          <w:rFonts w:hint="eastAsia" w:ascii="宋体" w:hAnsi="宋体" w:eastAsia="宋体" w:cs="宋体"/>
          <w:spacing w:val="-4"/>
          <w:sz w:val="24"/>
          <w:szCs w:val="24"/>
        </w:rPr>
      </w:pPr>
      <w:r>
        <w:rPr>
          <w:rFonts w:hint="eastAsia" w:ascii="宋体" w:hAnsi="宋体" w:eastAsia="宋体" w:cs="宋体"/>
          <w:spacing w:val="-4"/>
          <w:sz w:val="24"/>
          <w:szCs w:val="24"/>
        </w:rPr>
        <w:t>• 语言</w:t>
      </w:r>
    </w:p>
    <w:p w14:paraId="4A44C5EB">
      <w:pPr>
        <w:pStyle w:val="3"/>
        <w:spacing w:before="78" w:line="360" w:lineRule="auto"/>
        <w:ind w:left="14" w:right="5" w:firstLine="444"/>
        <w:rPr>
          <w:rFonts w:hint="eastAsia" w:ascii="宋体" w:hAnsi="宋体" w:eastAsia="宋体" w:cs="宋体"/>
          <w:spacing w:val="-4"/>
          <w:sz w:val="24"/>
          <w:szCs w:val="24"/>
        </w:rPr>
      </w:pPr>
      <w:r>
        <w:rPr>
          <w:rFonts w:hint="eastAsia" w:ascii="宋体" w:hAnsi="宋体" w:eastAsia="宋体" w:cs="宋体"/>
          <w:spacing w:val="-4"/>
          <w:sz w:val="24"/>
          <w:szCs w:val="24"/>
        </w:rPr>
        <w:t>• 员工开展的各种活动</w:t>
      </w:r>
    </w:p>
    <w:p w14:paraId="4EBC6437">
      <w:pPr>
        <w:pStyle w:val="3"/>
        <w:spacing w:before="78" w:line="360" w:lineRule="auto"/>
        <w:ind w:left="14" w:right="5" w:firstLine="444"/>
        <w:rPr>
          <w:rFonts w:hint="eastAsia" w:ascii="宋体" w:hAnsi="宋体" w:eastAsia="宋体" w:cs="宋体"/>
          <w:spacing w:val="-4"/>
          <w:sz w:val="24"/>
          <w:szCs w:val="24"/>
        </w:rPr>
      </w:pPr>
      <w:r>
        <w:rPr>
          <w:rFonts w:hint="eastAsia" w:ascii="宋体" w:hAnsi="宋体" w:eastAsia="宋体" w:cs="宋体"/>
          <w:spacing w:val="-4"/>
          <w:sz w:val="24"/>
          <w:szCs w:val="24"/>
        </w:rPr>
        <w:t>• 监管程度</w:t>
      </w:r>
    </w:p>
    <w:p w14:paraId="00E621C9">
      <w:pPr>
        <w:pStyle w:val="3"/>
        <w:spacing w:before="78" w:line="360" w:lineRule="auto"/>
        <w:ind w:left="14" w:right="5" w:firstLine="444"/>
        <w:rPr>
          <w:rFonts w:hint="eastAsia" w:ascii="宋体" w:hAnsi="宋体" w:eastAsia="宋体" w:cs="宋体"/>
          <w:spacing w:val="-4"/>
          <w:sz w:val="24"/>
          <w:szCs w:val="24"/>
        </w:rPr>
      </w:pPr>
      <w:r>
        <w:rPr>
          <w:rFonts w:hint="eastAsia" w:ascii="宋体" w:hAnsi="宋体" w:eastAsia="宋体" w:cs="宋体"/>
          <w:spacing w:val="-4"/>
          <w:sz w:val="24"/>
          <w:szCs w:val="24"/>
        </w:rPr>
        <w:t>• HSPM 体系的稳定性</w:t>
      </w:r>
    </w:p>
    <w:p w14:paraId="1A264F36">
      <w:pPr>
        <w:pStyle w:val="3"/>
        <w:spacing w:before="78" w:line="360" w:lineRule="auto"/>
        <w:ind w:left="14" w:right="5" w:firstLine="444"/>
        <w:rPr>
          <w:rFonts w:hint="eastAsia" w:ascii="宋体" w:hAnsi="宋体" w:eastAsia="宋体" w:cs="宋体"/>
          <w:spacing w:val="-4"/>
          <w:sz w:val="24"/>
          <w:szCs w:val="24"/>
        </w:rPr>
      </w:pPr>
      <w:r>
        <w:rPr>
          <w:rFonts w:hint="eastAsia" w:ascii="宋体" w:hAnsi="宋体" w:eastAsia="宋体" w:cs="宋体"/>
          <w:spacing w:val="-4"/>
          <w:sz w:val="24"/>
          <w:szCs w:val="24"/>
        </w:rPr>
        <w:t>本机构应确定初次，再认证和监督审核所需的总人天要基于每个组织的员工人数进行监督评估设施/地点，不得将所有地点的雇员总数相加。</w:t>
      </w:r>
    </w:p>
    <w:p w14:paraId="1B47BC27">
      <w:pPr>
        <w:pStyle w:val="3"/>
        <w:spacing w:before="78" w:line="360" w:lineRule="auto"/>
        <w:ind w:left="14" w:right="5" w:firstLine="444"/>
        <w:rPr>
          <w:rFonts w:hint="eastAsia" w:eastAsia="宋体"/>
          <w:color w:val="FF0000"/>
          <w:sz w:val="48"/>
          <w:szCs w:val="48"/>
          <w:lang w:val="en-US" w:eastAsia="zh-CN"/>
        </w:rPr>
      </w:pPr>
      <w:r>
        <w:rPr>
          <w:rFonts w:hint="eastAsia" w:ascii="宋体" w:hAnsi="宋体" w:eastAsia="宋体" w:cs="宋体"/>
          <w:spacing w:val="-4"/>
          <w:sz w:val="24"/>
          <w:szCs w:val="24"/>
        </w:rPr>
        <w:t>以下所示时间的增加或减少可能会改变基于上述因素或组合，但不超过 30%，对以下所示时间的任何更改均应为在报告中说明理由。</w:t>
      </w:r>
    </w:p>
    <w:p w14:paraId="0EC099F3">
      <w:pPr>
        <w:pStyle w:val="3"/>
        <w:spacing w:before="78" w:line="360" w:lineRule="auto"/>
        <w:ind w:left="14" w:right="5" w:firstLine="444"/>
        <w:rPr>
          <w:rFonts w:hint="eastAsia" w:ascii="宋体" w:hAnsi="宋体" w:eastAsia="宋体" w:cs="宋体"/>
          <w:spacing w:val="-4"/>
          <w:sz w:val="24"/>
          <w:szCs w:val="24"/>
        </w:rPr>
      </w:pPr>
      <w:r>
        <w:rPr>
          <w:rFonts w:hint="eastAsia" w:ascii="宋体" w:hAnsi="宋体" w:eastAsia="宋体" w:cs="宋体"/>
          <w:spacing w:val="-4"/>
          <w:sz w:val="24"/>
          <w:szCs w:val="24"/>
        </w:rPr>
        <w:t>对于拥有 150 名以下员工的组织，需要在 1/2 个工作日内进行文件审核可以在现场完成后紧接开始初次审核。理想情况下，拥有 150 名员工以上的组织将在初次审核计划之前执行现场或非现场的文件评审。</w:t>
      </w:r>
    </w:p>
    <w:p w14:paraId="1D4EE00B">
      <w:pPr>
        <w:spacing w:line="42" w:lineRule="auto"/>
        <w:rPr>
          <w:rFonts w:ascii="Arial"/>
          <w:sz w:val="2"/>
        </w:rPr>
      </w:pPr>
    </w:p>
    <w:tbl>
      <w:tblPr>
        <w:tblStyle w:val="11"/>
        <w:tblW w:w="102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8"/>
        <w:gridCol w:w="1843"/>
        <w:gridCol w:w="2123"/>
        <w:gridCol w:w="2836"/>
        <w:gridCol w:w="1564"/>
      </w:tblGrid>
      <w:tr w14:paraId="18EA6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848" w:type="dxa"/>
            <w:shd w:val="clear" w:color="auto" w:fill="auto"/>
            <w:vAlign w:val="top"/>
          </w:tcPr>
          <w:p w14:paraId="07F52DBA">
            <w:pPr>
              <w:spacing w:before="295" w:line="221" w:lineRule="auto"/>
              <w:ind w:left="190"/>
              <w:rPr>
                <w:rFonts w:ascii="宋体" w:hAnsi="宋体" w:eastAsia="宋体" w:cs="宋体"/>
                <w:b/>
                <w:bCs/>
                <w:sz w:val="21"/>
                <w:szCs w:val="21"/>
              </w:rPr>
            </w:pPr>
            <w:r>
              <w:rPr>
                <w:rFonts w:ascii="宋体" w:hAnsi="宋体" w:eastAsia="宋体" w:cs="宋体"/>
                <w:b/>
                <w:bCs/>
                <w:spacing w:val="-1"/>
                <w:sz w:val="21"/>
                <w:szCs w:val="21"/>
              </w:rPr>
              <w:t>认证组织员工数</w:t>
            </w:r>
          </w:p>
        </w:tc>
        <w:tc>
          <w:tcPr>
            <w:tcW w:w="1843" w:type="dxa"/>
            <w:shd w:val="clear" w:color="auto" w:fill="auto"/>
            <w:vAlign w:val="top"/>
          </w:tcPr>
          <w:p w14:paraId="71E9B4DF">
            <w:pPr>
              <w:spacing w:before="295" w:line="221" w:lineRule="auto"/>
              <w:ind w:left="41"/>
              <w:rPr>
                <w:rFonts w:ascii="宋体" w:hAnsi="宋体" w:eastAsia="宋体" w:cs="宋体"/>
                <w:b/>
                <w:bCs/>
                <w:sz w:val="21"/>
                <w:szCs w:val="21"/>
              </w:rPr>
            </w:pPr>
            <w:r>
              <w:rPr>
                <w:rFonts w:ascii="宋体" w:hAnsi="宋体" w:eastAsia="宋体" w:cs="宋体"/>
                <w:b/>
                <w:bCs/>
                <w:spacing w:val="-1"/>
                <w:sz w:val="21"/>
                <w:szCs w:val="21"/>
              </w:rPr>
              <w:t>初始审核现场天数</w:t>
            </w:r>
          </w:p>
        </w:tc>
        <w:tc>
          <w:tcPr>
            <w:tcW w:w="2123" w:type="dxa"/>
            <w:shd w:val="clear" w:color="auto" w:fill="auto"/>
            <w:vAlign w:val="top"/>
          </w:tcPr>
          <w:p w14:paraId="5FA0A659">
            <w:pPr>
              <w:spacing w:before="295" w:line="221" w:lineRule="auto"/>
              <w:ind w:left="70"/>
              <w:rPr>
                <w:rFonts w:ascii="宋体" w:hAnsi="宋体" w:eastAsia="宋体" w:cs="宋体"/>
                <w:b/>
                <w:bCs/>
                <w:sz w:val="21"/>
                <w:szCs w:val="21"/>
              </w:rPr>
            </w:pPr>
            <w:r>
              <w:rPr>
                <w:rFonts w:ascii="宋体" w:hAnsi="宋体" w:eastAsia="宋体" w:cs="宋体"/>
                <w:b/>
                <w:bCs/>
                <w:spacing w:val="-1"/>
                <w:sz w:val="21"/>
                <w:szCs w:val="21"/>
              </w:rPr>
              <w:t>再认证审核现场天数</w:t>
            </w:r>
          </w:p>
        </w:tc>
        <w:tc>
          <w:tcPr>
            <w:tcW w:w="2836" w:type="dxa"/>
            <w:shd w:val="clear" w:color="auto" w:fill="auto"/>
            <w:vAlign w:val="top"/>
          </w:tcPr>
          <w:p w14:paraId="4D26068A">
            <w:pPr>
              <w:spacing w:before="92" w:line="347" w:lineRule="auto"/>
              <w:ind w:left="324" w:right="151" w:hanging="264"/>
              <w:rPr>
                <w:rFonts w:ascii="宋体" w:hAnsi="宋体" w:eastAsia="宋体" w:cs="宋体"/>
                <w:b/>
                <w:bCs/>
                <w:sz w:val="21"/>
                <w:szCs w:val="21"/>
              </w:rPr>
            </w:pPr>
            <w:r>
              <w:rPr>
                <w:rFonts w:ascii="宋体" w:hAnsi="宋体" w:eastAsia="宋体" w:cs="宋体"/>
                <w:b/>
                <w:bCs/>
                <w:spacing w:val="-1"/>
                <w:sz w:val="21"/>
                <w:szCs w:val="21"/>
              </w:rPr>
              <w:t>初次审核文件评审天数/再认</w:t>
            </w:r>
            <w:r>
              <w:rPr>
                <w:rFonts w:ascii="宋体" w:hAnsi="宋体" w:eastAsia="宋体" w:cs="宋体"/>
                <w:b/>
                <w:bCs/>
                <w:spacing w:val="5"/>
                <w:sz w:val="21"/>
                <w:szCs w:val="21"/>
              </w:rPr>
              <w:t xml:space="preserve"> </w:t>
            </w:r>
            <w:r>
              <w:rPr>
                <w:rFonts w:ascii="宋体" w:hAnsi="宋体" w:eastAsia="宋体" w:cs="宋体"/>
                <w:b/>
                <w:bCs/>
                <w:spacing w:val="-1"/>
                <w:sz w:val="21"/>
                <w:szCs w:val="21"/>
              </w:rPr>
              <w:t>证文件评审天数如需要</w:t>
            </w:r>
          </w:p>
        </w:tc>
        <w:tc>
          <w:tcPr>
            <w:tcW w:w="1564" w:type="dxa"/>
            <w:shd w:val="clear" w:color="auto" w:fill="auto"/>
            <w:vAlign w:val="top"/>
          </w:tcPr>
          <w:p w14:paraId="668D6A77">
            <w:pPr>
              <w:spacing w:before="295" w:line="221" w:lineRule="auto"/>
              <w:ind w:left="116"/>
              <w:rPr>
                <w:rFonts w:ascii="宋体" w:hAnsi="宋体" w:eastAsia="宋体" w:cs="宋体"/>
                <w:b/>
                <w:bCs/>
                <w:sz w:val="21"/>
                <w:szCs w:val="21"/>
              </w:rPr>
            </w:pPr>
            <w:r>
              <w:rPr>
                <w:rFonts w:ascii="宋体" w:hAnsi="宋体" w:eastAsia="宋体" w:cs="宋体"/>
                <w:b/>
                <w:bCs/>
                <w:spacing w:val="-1"/>
                <w:sz w:val="21"/>
                <w:szCs w:val="21"/>
              </w:rPr>
              <w:t>年度监督天数</w:t>
            </w:r>
          </w:p>
        </w:tc>
      </w:tr>
      <w:tr w14:paraId="7F72D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848" w:type="dxa"/>
            <w:vAlign w:val="top"/>
          </w:tcPr>
          <w:p w14:paraId="2275AF3D">
            <w:pPr>
              <w:spacing w:before="80" w:line="182" w:lineRule="auto"/>
              <w:ind w:left="709"/>
              <w:rPr>
                <w:rFonts w:ascii="宋体" w:hAnsi="宋体" w:eastAsia="宋体" w:cs="宋体"/>
                <w:sz w:val="24"/>
                <w:szCs w:val="24"/>
              </w:rPr>
            </w:pPr>
            <w:r>
              <w:rPr>
                <w:rFonts w:ascii="宋体" w:hAnsi="宋体" w:eastAsia="宋体" w:cs="宋体"/>
                <w:spacing w:val="-7"/>
                <w:sz w:val="24"/>
                <w:szCs w:val="24"/>
              </w:rPr>
              <w:t>1-75</w:t>
            </w:r>
          </w:p>
        </w:tc>
        <w:tc>
          <w:tcPr>
            <w:tcW w:w="1843" w:type="dxa"/>
            <w:vAlign w:val="top"/>
          </w:tcPr>
          <w:p w14:paraId="650FB897">
            <w:pPr>
              <w:spacing w:before="81" w:line="181" w:lineRule="auto"/>
              <w:ind w:left="869"/>
              <w:rPr>
                <w:rFonts w:ascii="宋体" w:hAnsi="宋体" w:eastAsia="宋体" w:cs="宋体"/>
                <w:sz w:val="24"/>
                <w:szCs w:val="24"/>
              </w:rPr>
            </w:pPr>
            <w:r>
              <w:rPr>
                <w:rFonts w:ascii="宋体" w:hAnsi="宋体" w:eastAsia="宋体" w:cs="宋体"/>
                <w:sz w:val="24"/>
                <w:szCs w:val="24"/>
              </w:rPr>
              <w:t>2</w:t>
            </w:r>
          </w:p>
        </w:tc>
        <w:tc>
          <w:tcPr>
            <w:tcW w:w="2123" w:type="dxa"/>
            <w:vAlign w:val="top"/>
          </w:tcPr>
          <w:p w14:paraId="4B265608">
            <w:pPr>
              <w:spacing w:before="81" w:line="181" w:lineRule="auto"/>
              <w:ind w:left="1011"/>
              <w:rPr>
                <w:rFonts w:ascii="宋体" w:hAnsi="宋体" w:eastAsia="宋体" w:cs="宋体"/>
                <w:sz w:val="24"/>
                <w:szCs w:val="24"/>
              </w:rPr>
            </w:pPr>
            <w:r>
              <w:rPr>
                <w:rFonts w:ascii="宋体" w:hAnsi="宋体" w:eastAsia="宋体" w:cs="宋体"/>
                <w:sz w:val="24"/>
                <w:szCs w:val="24"/>
              </w:rPr>
              <w:t>2</w:t>
            </w:r>
          </w:p>
        </w:tc>
        <w:tc>
          <w:tcPr>
            <w:tcW w:w="2836" w:type="dxa"/>
            <w:vAlign w:val="top"/>
          </w:tcPr>
          <w:p w14:paraId="198CD493">
            <w:pPr>
              <w:spacing w:before="82" w:line="181" w:lineRule="auto"/>
              <w:ind w:left="1206"/>
              <w:rPr>
                <w:rFonts w:ascii="宋体" w:hAnsi="宋体" w:eastAsia="宋体" w:cs="宋体"/>
                <w:sz w:val="24"/>
                <w:szCs w:val="24"/>
              </w:rPr>
            </w:pPr>
            <w:r>
              <w:rPr>
                <w:rFonts w:ascii="宋体" w:hAnsi="宋体" w:eastAsia="宋体" w:cs="宋体"/>
                <w:spacing w:val="-3"/>
                <w:sz w:val="24"/>
                <w:szCs w:val="24"/>
              </w:rPr>
              <w:t>0.5</w:t>
            </w:r>
          </w:p>
        </w:tc>
        <w:tc>
          <w:tcPr>
            <w:tcW w:w="1564" w:type="dxa"/>
            <w:vAlign w:val="top"/>
          </w:tcPr>
          <w:p w14:paraId="16886F1C">
            <w:pPr>
              <w:spacing w:before="80" w:line="182" w:lineRule="auto"/>
              <w:ind w:left="582"/>
              <w:rPr>
                <w:rFonts w:ascii="宋体" w:hAnsi="宋体" w:eastAsia="宋体" w:cs="宋体"/>
                <w:sz w:val="24"/>
                <w:szCs w:val="24"/>
              </w:rPr>
            </w:pPr>
            <w:r>
              <w:rPr>
                <w:rFonts w:ascii="宋体" w:hAnsi="宋体" w:eastAsia="宋体" w:cs="宋体"/>
                <w:spacing w:val="-7"/>
                <w:sz w:val="24"/>
                <w:szCs w:val="24"/>
              </w:rPr>
              <w:t>1.5</w:t>
            </w:r>
          </w:p>
        </w:tc>
      </w:tr>
      <w:tr w14:paraId="641A2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848" w:type="dxa"/>
            <w:vAlign w:val="top"/>
          </w:tcPr>
          <w:p w14:paraId="0546E1A4">
            <w:pPr>
              <w:spacing w:before="78" w:line="182" w:lineRule="auto"/>
              <w:ind w:left="576"/>
              <w:rPr>
                <w:rFonts w:ascii="宋体" w:hAnsi="宋体" w:eastAsia="宋体" w:cs="宋体"/>
                <w:sz w:val="24"/>
                <w:szCs w:val="24"/>
              </w:rPr>
            </w:pPr>
            <w:r>
              <w:rPr>
                <w:rFonts w:ascii="宋体" w:hAnsi="宋体" w:eastAsia="宋体" w:cs="宋体"/>
                <w:spacing w:val="-3"/>
                <w:sz w:val="24"/>
                <w:szCs w:val="24"/>
              </w:rPr>
              <w:t>76-150</w:t>
            </w:r>
          </w:p>
        </w:tc>
        <w:tc>
          <w:tcPr>
            <w:tcW w:w="1843" w:type="dxa"/>
            <w:vAlign w:val="top"/>
          </w:tcPr>
          <w:p w14:paraId="558EBEDB">
            <w:pPr>
              <w:spacing w:before="79" w:line="181" w:lineRule="auto"/>
              <w:ind w:left="871"/>
              <w:rPr>
                <w:rFonts w:ascii="宋体" w:hAnsi="宋体" w:eastAsia="宋体" w:cs="宋体"/>
                <w:sz w:val="24"/>
                <w:szCs w:val="24"/>
              </w:rPr>
            </w:pPr>
            <w:r>
              <w:rPr>
                <w:rFonts w:ascii="宋体" w:hAnsi="宋体" w:eastAsia="宋体" w:cs="宋体"/>
                <w:sz w:val="24"/>
                <w:szCs w:val="24"/>
              </w:rPr>
              <w:t>3</w:t>
            </w:r>
          </w:p>
        </w:tc>
        <w:tc>
          <w:tcPr>
            <w:tcW w:w="2123" w:type="dxa"/>
            <w:vAlign w:val="top"/>
          </w:tcPr>
          <w:p w14:paraId="2024C1EE">
            <w:pPr>
              <w:spacing w:before="79" w:line="181" w:lineRule="auto"/>
              <w:ind w:left="848"/>
              <w:rPr>
                <w:rFonts w:ascii="宋体" w:hAnsi="宋体" w:eastAsia="宋体" w:cs="宋体"/>
                <w:sz w:val="24"/>
                <w:szCs w:val="24"/>
              </w:rPr>
            </w:pPr>
            <w:r>
              <w:rPr>
                <w:rFonts w:ascii="宋体" w:hAnsi="宋体" w:eastAsia="宋体" w:cs="宋体"/>
                <w:spacing w:val="-3"/>
                <w:sz w:val="24"/>
                <w:szCs w:val="24"/>
              </w:rPr>
              <w:t>2.5</w:t>
            </w:r>
          </w:p>
        </w:tc>
        <w:tc>
          <w:tcPr>
            <w:tcW w:w="2836" w:type="dxa"/>
            <w:vAlign w:val="top"/>
          </w:tcPr>
          <w:p w14:paraId="62A1E4C5">
            <w:pPr>
              <w:spacing w:before="79" w:line="181" w:lineRule="auto"/>
              <w:ind w:left="1206"/>
              <w:rPr>
                <w:rFonts w:ascii="宋体" w:hAnsi="宋体" w:eastAsia="宋体" w:cs="宋体"/>
                <w:sz w:val="24"/>
                <w:szCs w:val="24"/>
              </w:rPr>
            </w:pPr>
            <w:r>
              <w:rPr>
                <w:rFonts w:ascii="宋体" w:hAnsi="宋体" w:eastAsia="宋体" w:cs="宋体"/>
                <w:spacing w:val="-3"/>
                <w:sz w:val="24"/>
                <w:szCs w:val="24"/>
              </w:rPr>
              <w:t>0.5</w:t>
            </w:r>
          </w:p>
        </w:tc>
        <w:tc>
          <w:tcPr>
            <w:tcW w:w="1564" w:type="dxa"/>
            <w:vAlign w:val="top"/>
          </w:tcPr>
          <w:p w14:paraId="7ACF90E2">
            <w:pPr>
              <w:spacing w:before="79" w:line="181" w:lineRule="auto"/>
              <w:ind w:left="731"/>
              <w:rPr>
                <w:rFonts w:ascii="宋体" w:hAnsi="宋体" w:eastAsia="宋体" w:cs="宋体"/>
                <w:sz w:val="24"/>
                <w:szCs w:val="24"/>
              </w:rPr>
            </w:pPr>
            <w:r>
              <w:rPr>
                <w:rFonts w:ascii="宋体" w:hAnsi="宋体" w:eastAsia="宋体" w:cs="宋体"/>
                <w:sz w:val="24"/>
                <w:szCs w:val="24"/>
              </w:rPr>
              <w:t>2</w:t>
            </w:r>
          </w:p>
        </w:tc>
      </w:tr>
      <w:tr w14:paraId="558B0A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48" w:type="dxa"/>
            <w:vAlign w:val="top"/>
          </w:tcPr>
          <w:p w14:paraId="39505F56">
            <w:pPr>
              <w:spacing w:before="76" w:line="182" w:lineRule="auto"/>
              <w:ind w:left="529"/>
              <w:rPr>
                <w:rFonts w:ascii="宋体" w:hAnsi="宋体" w:eastAsia="宋体" w:cs="宋体"/>
                <w:sz w:val="24"/>
                <w:szCs w:val="24"/>
              </w:rPr>
            </w:pPr>
            <w:r>
              <w:rPr>
                <w:rFonts w:ascii="宋体" w:hAnsi="宋体" w:eastAsia="宋体" w:cs="宋体"/>
                <w:spacing w:val="-4"/>
                <w:sz w:val="24"/>
                <w:szCs w:val="24"/>
              </w:rPr>
              <w:t>151-600</w:t>
            </w:r>
          </w:p>
        </w:tc>
        <w:tc>
          <w:tcPr>
            <w:tcW w:w="1843" w:type="dxa"/>
            <w:vAlign w:val="top"/>
          </w:tcPr>
          <w:p w14:paraId="5FF97A73">
            <w:pPr>
              <w:spacing w:before="80" w:line="181" w:lineRule="auto"/>
              <w:ind w:left="865"/>
              <w:rPr>
                <w:rFonts w:ascii="宋体" w:hAnsi="宋体" w:eastAsia="宋体" w:cs="宋体"/>
                <w:sz w:val="24"/>
                <w:szCs w:val="24"/>
              </w:rPr>
            </w:pPr>
            <w:r>
              <w:rPr>
                <w:rFonts w:ascii="宋体" w:hAnsi="宋体" w:eastAsia="宋体" w:cs="宋体"/>
                <w:sz w:val="24"/>
                <w:szCs w:val="24"/>
              </w:rPr>
              <w:t>4</w:t>
            </w:r>
          </w:p>
        </w:tc>
        <w:tc>
          <w:tcPr>
            <w:tcW w:w="2123" w:type="dxa"/>
            <w:vAlign w:val="top"/>
          </w:tcPr>
          <w:p w14:paraId="3567E380">
            <w:pPr>
              <w:spacing w:before="80" w:line="181" w:lineRule="auto"/>
              <w:ind w:left="1013"/>
              <w:rPr>
                <w:rFonts w:ascii="宋体" w:hAnsi="宋体" w:eastAsia="宋体" w:cs="宋体"/>
                <w:sz w:val="24"/>
                <w:szCs w:val="24"/>
              </w:rPr>
            </w:pPr>
            <w:r>
              <w:rPr>
                <w:rFonts w:ascii="宋体" w:hAnsi="宋体" w:eastAsia="宋体" w:cs="宋体"/>
                <w:sz w:val="24"/>
                <w:szCs w:val="24"/>
              </w:rPr>
              <w:t>3</w:t>
            </w:r>
          </w:p>
        </w:tc>
        <w:tc>
          <w:tcPr>
            <w:tcW w:w="2836" w:type="dxa"/>
            <w:vAlign w:val="top"/>
          </w:tcPr>
          <w:p w14:paraId="2062F3D9">
            <w:pPr>
              <w:spacing w:before="79" w:line="182" w:lineRule="auto"/>
              <w:ind w:left="1383"/>
              <w:rPr>
                <w:rFonts w:ascii="宋体" w:hAnsi="宋体" w:eastAsia="宋体" w:cs="宋体"/>
                <w:sz w:val="24"/>
                <w:szCs w:val="24"/>
              </w:rPr>
            </w:pPr>
            <w:r>
              <w:rPr>
                <w:rFonts w:ascii="宋体" w:hAnsi="宋体" w:eastAsia="宋体" w:cs="宋体"/>
                <w:sz w:val="24"/>
                <w:szCs w:val="24"/>
              </w:rPr>
              <w:t>1</w:t>
            </w:r>
          </w:p>
        </w:tc>
        <w:tc>
          <w:tcPr>
            <w:tcW w:w="1564" w:type="dxa"/>
            <w:vAlign w:val="top"/>
          </w:tcPr>
          <w:p w14:paraId="67F6DBA8">
            <w:pPr>
              <w:spacing w:before="80" w:line="181" w:lineRule="auto"/>
              <w:ind w:left="733"/>
              <w:rPr>
                <w:rFonts w:ascii="宋体" w:hAnsi="宋体" w:eastAsia="宋体" w:cs="宋体"/>
                <w:sz w:val="24"/>
                <w:szCs w:val="24"/>
              </w:rPr>
            </w:pPr>
            <w:r>
              <w:rPr>
                <w:rFonts w:ascii="宋体" w:hAnsi="宋体" w:eastAsia="宋体" w:cs="宋体"/>
                <w:sz w:val="24"/>
                <w:szCs w:val="24"/>
              </w:rPr>
              <w:t>3</w:t>
            </w:r>
          </w:p>
        </w:tc>
      </w:tr>
      <w:tr w14:paraId="05CB1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848" w:type="dxa"/>
            <w:vAlign w:val="top"/>
          </w:tcPr>
          <w:p w14:paraId="062DE30E">
            <w:pPr>
              <w:spacing w:before="81" w:line="182" w:lineRule="auto"/>
              <w:ind w:left="453"/>
              <w:rPr>
                <w:rFonts w:ascii="宋体" w:hAnsi="宋体" w:eastAsia="宋体" w:cs="宋体"/>
                <w:sz w:val="24"/>
                <w:szCs w:val="24"/>
              </w:rPr>
            </w:pPr>
            <w:r>
              <w:rPr>
                <w:rFonts w:ascii="宋体" w:hAnsi="宋体" w:eastAsia="宋体" w:cs="宋体"/>
                <w:spacing w:val="-2"/>
                <w:sz w:val="24"/>
                <w:szCs w:val="24"/>
              </w:rPr>
              <w:t>601-1000</w:t>
            </w:r>
          </w:p>
        </w:tc>
        <w:tc>
          <w:tcPr>
            <w:tcW w:w="1843" w:type="dxa"/>
            <w:vAlign w:val="top"/>
          </w:tcPr>
          <w:p w14:paraId="64C38989">
            <w:pPr>
              <w:spacing w:before="84" w:line="180" w:lineRule="auto"/>
              <w:ind w:left="871"/>
              <w:rPr>
                <w:rFonts w:ascii="宋体" w:hAnsi="宋体" w:eastAsia="宋体" w:cs="宋体"/>
                <w:sz w:val="24"/>
                <w:szCs w:val="24"/>
              </w:rPr>
            </w:pPr>
            <w:r>
              <w:rPr>
                <w:rFonts w:ascii="宋体" w:hAnsi="宋体" w:eastAsia="宋体" w:cs="宋体"/>
                <w:sz w:val="24"/>
                <w:szCs w:val="24"/>
              </w:rPr>
              <w:t>5</w:t>
            </w:r>
          </w:p>
        </w:tc>
        <w:tc>
          <w:tcPr>
            <w:tcW w:w="2123" w:type="dxa"/>
            <w:vAlign w:val="top"/>
          </w:tcPr>
          <w:p w14:paraId="0B8E2C86">
            <w:pPr>
              <w:spacing w:before="83" w:line="181" w:lineRule="auto"/>
              <w:ind w:left="1007"/>
              <w:rPr>
                <w:rFonts w:ascii="宋体" w:hAnsi="宋体" w:eastAsia="宋体" w:cs="宋体"/>
                <w:sz w:val="24"/>
                <w:szCs w:val="24"/>
              </w:rPr>
            </w:pPr>
            <w:r>
              <w:rPr>
                <w:rFonts w:ascii="宋体" w:hAnsi="宋体" w:eastAsia="宋体" w:cs="宋体"/>
                <w:sz w:val="24"/>
                <w:szCs w:val="24"/>
              </w:rPr>
              <w:t>4</w:t>
            </w:r>
          </w:p>
        </w:tc>
        <w:tc>
          <w:tcPr>
            <w:tcW w:w="2836" w:type="dxa"/>
            <w:vAlign w:val="top"/>
          </w:tcPr>
          <w:p w14:paraId="75F88B04">
            <w:pPr>
              <w:spacing w:before="81" w:line="182" w:lineRule="auto"/>
              <w:ind w:left="1383"/>
              <w:rPr>
                <w:rFonts w:ascii="宋体" w:hAnsi="宋体" w:eastAsia="宋体" w:cs="宋体"/>
                <w:sz w:val="24"/>
                <w:szCs w:val="24"/>
              </w:rPr>
            </w:pPr>
            <w:r>
              <w:rPr>
                <w:rFonts w:ascii="宋体" w:hAnsi="宋体" w:eastAsia="宋体" w:cs="宋体"/>
                <w:sz w:val="24"/>
                <w:szCs w:val="24"/>
              </w:rPr>
              <w:t>1</w:t>
            </w:r>
          </w:p>
        </w:tc>
        <w:tc>
          <w:tcPr>
            <w:tcW w:w="1564" w:type="dxa"/>
            <w:vAlign w:val="top"/>
          </w:tcPr>
          <w:p w14:paraId="61DA1FC7">
            <w:pPr>
              <w:spacing w:before="83" w:line="181" w:lineRule="auto"/>
              <w:ind w:left="733"/>
              <w:rPr>
                <w:rFonts w:ascii="宋体" w:hAnsi="宋体" w:eastAsia="宋体" w:cs="宋体"/>
                <w:sz w:val="24"/>
                <w:szCs w:val="24"/>
              </w:rPr>
            </w:pPr>
            <w:r>
              <w:rPr>
                <w:rFonts w:ascii="宋体" w:hAnsi="宋体" w:eastAsia="宋体" w:cs="宋体"/>
                <w:sz w:val="24"/>
                <w:szCs w:val="24"/>
              </w:rPr>
              <w:t>3</w:t>
            </w:r>
          </w:p>
        </w:tc>
      </w:tr>
      <w:tr w14:paraId="632AF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848" w:type="dxa"/>
            <w:vAlign w:val="top"/>
          </w:tcPr>
          <w:p w14:paraId="03B1FD9F">
            <w:pPr>
              <w:spacing w:before="80" w:line="182" w:lineRule="auto"/>
              <w:ind w:left="409"/>
              <w:rPr>
                <w:rFonts w:ascii="宋体" w:hAnsi="宋体" w:eastAsia="宋体" w:cs="宋体"/>
                <w:sz w:val="24"/>
                <w:szCs w:val="24"/>
              </w:rPr>
            </w:pPr>
            <w:r>
              <w:rPr>
                <w:rFonts w:ascii="宋体" w:hAnsi="宋体" w:eastAsia="宋体" w:cs="宋体"/>
                <w:spacing w:val="-4"/>
                <w:sz w:val="24"/>
                <w:szCs w:val="24"/>
              </w:rPr>
              <w:t>1001-2000</w:t>
            </w:r>
          </w:p>
        </w:tc>
        <w:tc>
          <w:tcPr>
            <w:tcW w:w="1843" w:type="dxa"/>
            <w:vAlign w:val="top"/>
          </w:tcPr>
          <w:p w14:paraId="3BC6E8B6">
            <w:pPr>
              <w:spacing w:before="83" w:line="180" w:lineRule="auto"/>
              <w:ind w:left="871"/>
              <w:rPr>
                <w:rFonts w:ascii="宋体" w:hAnsi="宋体" w:eastAsia="宋体" w:cs="宋体"/>
                <w:sz w:val="24"/>
                <w:szCs w:val="24"/>
              </w:rPr>
            </w:pPr>
            <w:r>
              <w:rPr>
                <w:rFonts w:ascii="宋体" w:hAnsi="宋体" w:eastAsia="宋体" w:cs="宋体"/>
                <w:sz w:val="24"/>
                <w:szCs w:val="24"/>
              </w:rPr>
              <w:t>5</w:t>
            </w:r>
          </w:p>
        </w:tc>
        <w:tc>
          <w:tcPr>
            <w:tcW w:w="2123" w:type="dxa"/>
            <w:vAlign w:val="top"/>
          </w:tcPr>
          <w:p w14:paraId="783DC416">
            <w:pPr>
              <w:spacing w:before="81" w:line="181" w:lineRule="auto"/>
              <w:ind w:left="844"/>
              <w:rPr>
                <w:rFonts w:ascii="宋体" w:hAnsi="宋体" w:eastAsia="宋体" w:cs="宋体"/>
                <w:sz w:val="24"/>
                <w:szCs w:val="24"/>
              </w:rPr>
            </w:pPr>
            <w:r>
              <w:rPr>
                <w:rFonts w:ascii="宋体" w:hAnsi="宋体" w:eastAsia="宋体" w:cs="宋体"/>
                <w:spacing w:val="-2"/>
                <w:sz w:val="24"/>
                <w:szCs w:val="24"/>
              </w:rPr>
              <w:t>4.5</w:t>
            </w:r>
          </w:p>
        </w:tc>
        <w:tc>
          <w:tcPr>
            <w:tcW w:w="2836" w:type="dxa"/>
            <w:vAlign w:val="top"/>
          </w:tcPr>
          <w:p w14:paraId="7D7449CB">
            <w:pPr>
              <w:spacing w:before="80" w:line="182" w:lineRule="auto"/>
              <w:ind w:left="1383"/>
              <w:rPr>
                <w:rFonts w:ascii="宋体" w:hAnsi="宋体" w:eastAsia="宋体" w:cs="宋体"/>
                <w:sz w:val="24"/>
                <w:szCs w:val="24"/>
              </w:rPr>
            </w:pPr>
            <w:r>
              <w:rPr>
                <w:rFonts w:ascii="宋体" w:hAnsi="宋体" w:eastAsia="宋体" w:cs="宋体"/>
                <w:sz w:val="24"/>
                <w:szCs w:val="24"/>
              </w:rPr>
              <w:t>1</w:t>
            </w:r>
          </w:p>
        </w:tc>
        <w:tc>
          <w:tcPr>
            <w:tcW w:w="1564" w:type="dxa"/>
            <w:vAlign w:val="top"/>
          </w:tcPr>
          <w:p w14:paraId="5D7D62D2">
            <w:pPr>
              <w:spacing w:before="81" w:line="181" w:lineRule="auto"/>
              <w:ind w:left="727"/>
              <w:rPr>
                <w:rFonts w:ascii="宋体" w:hAnsi="宋体" w:eastAsia="宋体" w:cs="宋体"/>
                <w:sz w:val="24"/>
                <w:szCs w:val="24"/>
              </w:rPr>
            </w:pPr>
            <w:r>
              <w:rPr>
                <w:rFonts w:ascii="宋体" w:hAnsi="宋体" w:eastAsia="宋体" w:cs="宋体"/>
                <w:sz w:val="24"/>
                <w:szCs w:val="24"/>
              </w:rPr>
              <w:t>4</w:t>
            </w:r>
          </w:p>
        </w:tc>
      </w:tr>
      <w:tr w14:paraId="4C1D2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848" w:type="dxa"/>
            <w:vAlign w:val="top"/>
          </w:tcPr>
          <w:p w14:paraId="680218A0">
            <w:pPr>
              <w:spacing w:before="79" w:line="182" w:lineRule="auto"/>
              <w:ind w:left="394"/>
              <w:rPr>
                <w:rFonts w:ascii="宋体" w:hAnsi="宋体" w:eastAsia="宋体" w:cs="宋体"/>
                <w:sz w:val="24"/>
                <w:szCs w:val="24"/>
              </w:rPr>
            </w:pPr>
            <w:r>
              <w:rPr>
                <w:rFonts w:ascii="宋体" w:hAnsi="宋体" w:eastAsia="宋体" w:cs="宋体"/>
                <w:spacing w:val="-2"/>
                <w:sz w:val="24"/>
                <w:szCs w:val="24"/>
              </w:rPr>
              <w:t>2001-3000</w:t>
            </w:r>
          </w:p>
        </w:tc>
        <w:tc>
          <w:tcPr>
            <w:tcW w:w="1843" w:type="dxa"/>
            <w:vAlign w:val="top"/>
          </w:tcPr>
          <w:p w14:paraId="3FAE13D9">
            <w:pPr>
              <w:spacing w:before="82" w:line="181" w:lineRule="auto"/>
              <w:ind w:left="868"/>
              <w:rPr>
                <w:rFonts w:ascii="宋体" w:hAnsi="宋体" w:eastAsia="宋体" w:cs="宋体"/>
                <w:sz w:val="24"/>
                <w:szCs w:val="24"/>
              </w:rPr>
            </w:pPr>
            <w:r>
              <w:rPr>
                <w:rFonts w:ascii="宋体" w:hAnsi="宋体" w:eastAsia="宋体" w:cs="宋体"/>
                <w:sz w:val="24"/>
                <w:szCs w:val="24"/>
              </w:rPr>
              <w:t>6</w:t>
            </w:r>
          </w:p>
        </w:tc>
        <w:tc>
          <w:tcPr>
            <w:tcW w:w="2123" w:type="dxa"/>
            <w:vAlign w:val="top"/>
          </w:tcPr>
          <w:p w14:paraId="375F7ED9">
            <w:pPr>
              <w:spacing w:before="84" w:line="180" w:lineRule="auto"/>
              <w:ind w:left="1013"/>
              <w:rPr>
                <w:rFonts w:ascii="宋体" w:hAnsi="宋体" w:eastAsia="宋体" w:cs="宋体"/>
                <w:sz w:val="24"/>
                <w:szCs w:val="24"/>
              </w:rPr>
            </w:pPr>
            <w:r>
              <w:rPr>
                <w:rFonts w:ascii="宋体" w:hAnsi="宋体" w:eastAsia="宋体" w:cs="宋体"/>
                <w:sz w:val="24"/>
                <w:szCs w:val="24"/>
              </w:rPr>
              <w:t>5</w:t>
            </w:r>
          </w:p>
        </w:tc>
        <w:tc>
          <w:tcPr>
            <w:tcW w:w="2836" w:type="dxa"/>
            <w:vAlign w:val="top"/>
          </w:tcPr>
          <w:p w14:paraId="62590573">
            <w:pPr>
              <w:spacing w:before="81" w:line="182" w:lineRule="auto"/>
              <w:ind w:left="1383"/>
              <w:rPr>
                <w:rFonts w:ascii="宋体" w:hAnsi="宋体" w:eastAsia="宋体" w:cs="宋体"/>
                <w:sz w:val="24"/>
                <w:szCs w:val="24"/>
              </w:rPr>
            </w:pPr>
            <w:r>
              <w:rPr>
                <w:rFonts w:ascii="宋体" w:hAnsi="宋体" w:eastAsia="宋体" w:cs="宋体"/>
                <w:sz w:val="24"/>
                <w:szCs w:val="24"/>
              </w:rPr>
              <w:t>1</w:t>
            </w:r>
          </w:p>
        </w:tc>
        <w:tc>
          <w:tcPr>
            <w:tcW w:w="1564" w:type="dxa"/>
            <w:vAlign w:val="top"/>
          </w:tcPr>
          <w:p w14:paraId="0AFD6738">
            <w:pPr>
              <w:spacing w:before="82" w:line="181" w:lineRule="auto"/>
              <w:ind w:left="727"/>
              <w:rPr>
                <w:rFonts w:ascii="宋体" w:hAnsi="宋体" w:eastAsia="宋体" w:cs="宋体"/>
                <w:sz w:val="24"/>
                <w:szCs w:val="24"/>
              </w:rPr>
            </w:pPr>
            <w:r>
              <w:rPr>
                <w:rFonts w:ascii="宋体" w:hAnsi="宋体" w:eastAsia="宋体" w:cs="宋体"/>
                <w:sz w:val="24"/>
                <w:szCs w:val="24"/>
              </w:rPr>
              <w:t>4</w:t>
            </w:r>
          </w:p>
        </w:tc>
      </w:tr>
      <w:tr w14:paraId="26EE1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848" w:type="dxa"/>
            <w:vAlign w:val="top"/>
          </w:tcPr>
          <w:p w14:paraId="0F046A26">
            <w:pPr>
              <w:spacing w:before="84" w:line="182" w:lineRule="auto"/>
              <w:ind w:left="396"/>
              <w:rPr>
                <w:rFonts w:ascii="宋体" w:hAnsi="宋体" w:eastAsia="宋体" w:cs="宋体"/>
                <w:sz w:val="24"/>
                <w:szCs w:val="24"/>
              </w:rPr>
            </w:pPr>
            <w:r>
              <w:rPr>
                <w:rFonts w:ascii="宋体" w:hAnsi="宋体" w:eastAsia="宋体" w:cs="宋体"/>
                <w:spacing w:val="-2"/>
                <w:sz w:val="24"/>
                <w:szCs w:val="24"/>
              </w:rPr>
              <w:t>3001-4000</w:t>
            </w:r>
          </w:p>
        </w:tc>
        <w:tc>
          <w:tcPr>
            <w:tcW w:w="1843" w:type="dxa"/>
            <w:vAlign w:val="top"/>
          </w:tcPr>
          <w:p w14:paraId="29FCF9DB">
            <w:pPr>
              <w:spacing w:before="87" w:line="180" w:lineRule="auto"/>
              <w:ind w:left="872"/>
              <w:rPr>
                <w:rFonts w:ascii="宋体" w:hAnsi="宋体" w:eastAsia="宋体" w:cs="宋体"/>
                <w:sz w:val="24"/>
                <w:szCs w:val="24"/>
              </w:rPr>
            </w:pPr>
            <w:r>
              <w:rPr>
                <w:rFonts w:ascii="宋体" w:hAnsi="宋体" w:eastAsia="宋体" w:cs="宋体"/>
                <w:sz w:val="24"/>
                <w:szCs w:val="24"/>
              </w:rPr>
              <w:t>7</w:t>
            </w:r>
          </w:p>
        </w:tc>
        <w:tc>
          <w:tcPr>
            <w:tcW w:w="2123" w:type="dxa"/>
            <w:vAlign w:val="top"/>
          </w:tcPr>
          <w:p w14:paraId="082CC2AB">
            <w:pPr>
              <w:spacing w:before="85" w:line="181" w:lineRule="auto"/>
              <w:ind w:left="1010"/>
              <w:rPr>
                <w:rFonts w:ascii="宋体" w:hAnsi="宋体" w:eastAsia="宋体" w:cs="宋体"/>
                <w:sz w:val="24"/>
                <w:szCs w:val="24"/>
              </w:rPr>
            </w:pPr>
            <w:r>
              <w:rPr>
                <w:rFonts w:ascii="宋体" w:hAnsi="宋体" w:eastAsia="宋体" w:cs="宋体"/>
                <w:sz w:val="24"/>
                <w:szCs w:val="24"/>
              </w:rPr>
              <w:t>6</w:t>
            </w:r>
          </w:p>
        </w:tc>
        <w:tc>
          <w:tcPr>
            <w:tcW w:w="2836" w:type="dxa"/>
            <w:vAlign w:val="top"/>
          </w:tcPr>
          <w:p w14:paraId="20C231C4">
            <w:pPr>
              <w:spacing w:before="84" w:line="182" w:lineRule="auto"/>
              <w:ind w:left="1383"/>
              <w:rPr>
                <w:rFonts w:ascii="宋体" w:hAnsi="宋体" w:eastAsia="宋体" w:cs="宋体"/>
                <w:sz w:val="24"/>
                <w:szCs w:val="24"/>
              </w:rPr>
            </w:pPr>
            <w:r>
              <w:rPr>
                <w:rFonts w:ascii="宋体" w:hAnsi="宋体" w:eastAsia="宋体" w:cs="宋体"/>
                <w:sz w:val="24"/>
                <w:szCs w:val="24"/>
              </w:rPr>
              <w:t>1</w:t>
            </w:r>
          </w:p>
        </w:tc>
        <w:tc>
          <w:tcPr>
            <w:tcW w:w="1564" w:type="dxa"/>
            <w:vAlign w:val="top"/>
          </w:tcPr>
          <w:p w14:paraId="55A45846">
            <w:pPr>
              <w:spacing w:before="87" w:line="180" w:lineRule="auto"/>
              <w:ind w:left="733"/>
              <w:rPr>
                <w:rFonts w:ascii="宋体" w:hAnsi="宋体" w:eastAsia="宋体" w:cs="宋体"/>
                <w:sz w:val="24"/>
                <w:szCs w:val="24"/>
              </w:rPr>
            </w:pPr>
            <w:r>
              <w:rPr>
                <w:rFonts w:ascii="宋体" w:hAnsi="宋体" w:eastAsia="宋体" w:cs="宋体"/>
                <w:sz w:val="24"/>
                <w:szCs w:val="24"/>
              </w:rPr>
              <w:t>5</w:t>
            </w:r>
          </w:p>
        </w:tc>
      </w:tr>
      <w:tr w14:paraId="1BFE1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848" w:type="dxa"/>
            <w:vAlign w:val="top"/>
          </w:tcPr>
          <w:p w14:paraId="43035A55">
            <w:pPr>
              <w:spacing w:before="82" w:line="182" w:lineRule="auto"/>
              <w:ind w:left="390"/>
              <w:rPr>
                <w:rFonts w:ascii="宋体" w:hAnsi="宋体" w:eastAsia="宋体" w:cs="宋体"/>
                <w:sz w:val="24"/>
                <w:szCs w:val="24"/>
              </w:rPr>
            </w:pPr>
            <w:r>
              <w:rPr>
                <w:rFonts w:ascii="宋体" w:hAnsi="宋体" w:eastAsia="宋体" w:cs="宋体"/>
                <w:spacing w:val="-1"/>
                <w:sz w:val="24"/>
                <w:szCs w:val="24"/>
              </w:rPr>
              <w:t>4001-8000</w:t>
            </w:r>
          </w:p>
        </w:tc>
        <w:tc>
          <w:tcPr>
            <w:tcW w:w="1843" w:type="dxa"/>
            <w:vAlign w:val="top"/>
          </w:tcPr>
          <w:p w14:paraId="63202876">
            <w:pPr>
              <w:spacing w:before="83" w:line="181" w:lineRule="auto"/>
              <w:ind w:left="867"/>
              <w:rPr>
                <w:rFonts w:ascii="宋体" w:hAnsi="宋体" w:eastAsia="宋体" w:cs="宋体"/>
                <w:sz w:val="24"/>
                <w:szCs w:val="24"/>
              </w:rPr>
            </w:pPr>
            <w:r>
              <w:rPr>
                <w:rFonts w:ascii="宋体" w:hAnsi="宋体" w:eastAsia="宋体" w:cs="宋体"/>
                <w:sz w:val="24"/>
                <w:szCs w:val="24"/>
              </w:rPr>
              <w:t>8</w:t>
            </w:r>
          </w:p>
        </w:tc>
        <w:tc>
          <w:tcPr>
            <w:tcW w:w="2123" w:type="dxa"/>
            <w:vAlign w:val="top"/>
          </w:tcPr>
          <w:p w14:paraId="1B724891">
            <w:pPr>
              <w:spacing w:before="83" w:line="181" w:lineRule="auto"/>
              <w:ind w:left="847"/>
              <w:rPr>
                <w:rFonts w:ascii="宋体" w:hAnsi="宋体" w:eastAsia="宋体" w:cs="宋体"/>
                <w:sz w:val="24"/>
                <w:szCs w:val="24"/>
              </w:rPr>
            </w:pPr>
            <w:r>
              <w:rPr>
                <w:rFonts w:ascii="宋体" w:hAnsi="宋体" w:eastAsia="宋体" w:cs="宋体"/>
                <w:spacing w:val="-3"/>
                <w:sz w:val="24"/>
                <w:szCs w:val="24"/>
              </w:rPr>
              <w:t>6.5</w:t>
            </w:r>
          </w:p>
        </w:tc>
        <w:tc>
          <w:tcPr>
            <w:tcW w:w="2836" w:type="dxa"/>
            <w:vAlign w:val="top"/>
          </w:tcPr>
          <w:p w14:paraId="293EBF1E">
            <w:pPr>
              <w:spacing w:before="82" w:line="182" w:lineRule="auto"/>
              <w:ind w:left="1383"/>
              <w:rPr>
                <w:rFonts w:ascii="宋体" w:hAnsi="宋体" w:eastAsia="宋体" w:cs="宋体"/>
                <w:sz w:val="24"/>
                <w:szCs w:val="24"/>
              </w:rPr>
            </w:pPr>
            <w:r>
              <w:rPr>
                <w:rFonts w:ascii="宋体" w:hAnsi="宋体" w:eastAsia="宋体" w:cs="宋体"/>
                <w:sz w:val="24"/>
                <w:szCs w:val="24"/>
              </w:rPr>
              <w:t>1</w:t>
            </w:r>
          </w:p>
        </w:tc>
        <w:tc>
          <w:tcPr>
            <w:tcW w:w="1564" w:type="dxa"/>
            <w:vAlign w:val="top"/>
          </w:tcPr>
          <w:p w14:paraId="485FC44A">
            <w:pPr>
              <w:spacing w:before="84" w:line="180" w:lineRule="auto"/>
              <w:ind w:left="733"/>
              <w:rPr>
                <w:rFonts w:ascii="宋体" w:hAnsi="宋体" w:eastAsia="宋体" w:cs="宋体"/>
                <w:sz w:val="24"/>
                <w:szCs w:val="24"/>
              </w:rPr>
            </w:pPr>
            <w:r>
              <w:rPr>
                <w:rFonts w:ascii="宋体" w:hAnsi="宋体" w:eastAsia="宋体" w:cs="宋体"/>
                <w:sz w:val="24"/>
                <w:szCs w:val="24"/>
              </w:rPr>
              <w:t>5</w:t>
            </w:r>
          </w:p>
        </w:tc>
      </w:tr>
      <w:tr w14:paraId="212FA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848" w:type="dxa"/>
            <w:vAlign w:val="top"/>
          </w:tcPr>
          <w:p w14:paraId="01CFA04C">
            <w:pPr>
              <w:spacing w:before="79" w:line="182" w:lineRule="auto"/>
              <w:ind w:left="115"/>
              <w:rPr>
                <w:rFonts w:ascii="宋体" w:hAnsi="宋体" w:eastAsia="宋体" w:cs="宋体"/>
                <w:sz w:val="24"/>
                <w:szCs w:val="24"/>
              </w:rPr>
            </w:pPr>
            <w:r>
              <w:rPr>
                <w:rFonts w:ascii="宋体" w:hAnsi="宋体" w:eastAsia="宋体" w:cs="宋体"/>
                <w:spacing w:val="-1"/>
                <w:sz w:val="24"/>
                <w:szCs w:val="24"/>
              </w:rPr>
              <w:t>8001-15000</w:t>
            </w:r>
          </w:p>
        </w:tc>
        <w:tc>
          <w:tcPr>
            <w:tcW w:w="1843" w:type="dxa"/>
            <w:vAlign w:val="top"/>
          </w:tcPr>
          <w:p w14:paraId="47BA815C">
            <w:pPr>
              <w:spacing w:before="83" w:line="181" w:lineRule="auto"/>
              <w:ind w:left="867"/>
              <w:rPr>
                <w:rFonts w:ascii="宋体" w:hAnsi="宋体" w:eastAsia="宋体" w:cs="宋体"/>
                <w:sz w:val="24"/>
                <w:szCs w:val="24"/>
              </w:rPr>
            </w:pPr>
            <w:r>
              <w:rPr>
                <w:rFonts w:ascii="宋体" w:hAnsi="宋体" w:eastAsia="宋体" w:cs="宋体"/>
                <w:sz w:val="24"/>
                <w:szCs w:val="24"/>
              </w:rPr>
              <w:t>8</w:t>
            </w:r>
          </w:p>
        </w:tc>
        <w:tc>
          <w:tcPr>
            <w:tcW w:w="2123" w:type="dxa"/>
            <w:vAlign w:val="top"/>
          </w:tcPr>
          <w:p w14:paraId="27FC125B">
            <w:pPr>
              <w:spacing w:before="84" w:line="180" w:lineRule="auto"/>
              <w:ind w:left="1014"/>
              <w:rPr>
                <w:rFonts w:ascii="宋体" w:hAnsi="宋体" w:eastAsia="宋体" w:cs="宋体"/>
                <w:sz w:val="24"/>
                <w:szCs w:val="24"/>
              </w:rPr>
            </w:pPr>
            <w:r>
              <w:rPr>
                <w:rFonts w:ascii="宋体" w:hAnsi="宋体" w:eastAsia="宋体" w:cs="宋体"/>
                <w:sz w:val="24"/>
                <w:szCs w:val="24"/>
              </w:rPr>
              <w:t>7</w:t>
            </w:r>
          </w:p>
        </w:tc>
        <w:tc>
          <w:tcPr>
            <w:tcW w:w="2836" w:type="dxa"/>
            <w:vAlign w:val="top"/>
          </w:tcPr>
          <w:p w14:paraId="281FCB0A">
            <w:pPr>
              <w:spacing w:before="82" w:line="182" w:lineRule="auto"/>
              <w:ind w:left="1383"/>
              <w:rPr>
                <w:rFonts w:ascii="宋体" w:hAnsi="宋体" w:eastAsia="宋体" w:cs="宋体"/>
                <w:sz w:val="24"/>
                <w:szCs w:val="24"/>
              </w:rPr>
            </w:pPr>
            <w:r>
              <w:rPr>
                <w:rFonts w:ascii="宋体" w:hAnsi="宋体" w:eastAsia="宋体" w:cs="宋体"/>
                <w:sz w:val="24"/>
                <w:szCs w:val="24"/>
              </w:rPr>
              <w:t>1</w:t>
            </w:r>
          </w:p>
        </w:tc>
        <w:tc>
          <w:tcPr>
            <w:tcW w:w="1564" w:type="dxa"/>
            <w:vAlign w:val="top"/>
          </w:tcPr>
          <w:p w14:paraId="6385FF7A">
            <w:pPr>
              <w:spacing w:before="83" w:line="181" w:lineRule="auto"/>
              <w:ind w:left="730"/>
              <w:rPr>
                <w:rFonts w:ascii="宋体" w:hAnsi="宋体" w:eastAsia="宋体" w:cs="宋体"/>
                <w:sz w:val="24"/>
                <w:szCs w:val="24"/>
              </w:rPr>
            </w:pPr>
            <w:r>
              <w:rPr>
                <w:rFonts w:ascii="宋体" w:hAnsi="宋体" w:eastAsia="宋体" w:cs="宋体"/>
                <w:sz w:val="24"/>
                <w:szCs w:val="24"/>
              </w:rPr>
              <w:t>6</w:t>
            </w:r>
          </w:p>
        </w:tc>
      </w:tr>
      <w:tr w14:paraId="78D6C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848" w:type="dxa"/>
            <w:vAlign w:val="top"/>
          </w:tcPr>
          <w:p w14:paraId="6C93F892">
            <w:pPr>
              <w:spacing w:before="85" w:line="182" w:lineRule="auto"/>
              <w:ind w:left="101"/>
              <w:rPr>
                <w:rFonts w:ascii="宋体" w:hAnsi="宋体" w:eastAsia="宋体" w:cs="宋体"/>
                <w:sz w:val="24"/>
                <w:szCs w:val="24"/>
              </w:rPr>
            </w:pPr>
            <w:r>
              <w:rPr>
                <w:rFonts w:ascii="宋体" w:hAnsi="宋体" w:eastAsia="宋体" w:cs="宋体"/>
                <w:spacing w:val="-3"/>
                <w:sz w:val="24"/>
                <w:szCs w:val="24"/>
              </w:rPr>
              <w:t>15001-20000</w:t>
            </w:r>
          </w:p>
        </w:tc>
        <w:tc>
          <w:tcPr>
            <w:tcW w:w="1843" w:type="dxa"/>
            <w:vAlign w:val="top"/>
          </w:tcPr>
          <w:p w14:paraId="6D806CF3">
            <w:pPr>
              <w:spacing w:before="86" w:line="181" w:lineRule="auto"/>
              <w:ind w:left="867"/>
              <w:rPr>
                <w:rFonts w:ascii="宋体" w:hAnsi="宋体" w:eastAsia="宋体" w:cs="宋体"/>
                <w:sz w:val="24"/>
                <w:szCs w:val="24"/>
              </w:rPr>
            </w:pPr>
            <w:r>
              <w:rPr>
                <w:rFonts w:ascii="宋体" w:hAnsi="宋体" w:eastAsia="宋体" w:cs="宋体"/>
                <w:sz w:val="24"/>
                <w:szCs w:val="24"/>
              </w:rPr>
              <w:t>9</w:t>
            </w:r>
          </w:p>
        </w:tc>
        <w:tc>
          <w:tcPr>
            <w:tcW w:w="2123" w:type="dxa"/>
            <w:vAlign w:val="top"/>
          </w:tcPr>
          <w:p w14:paraId="706BD4D1">
            <w:pPr>
              <w:spacing w:before="86" w:line="181" w:lineRule="auto"/>
              <w:ind w:left="1009"/>
              <w:rPr>
                <w:rFonts w:ascii="宋体" w:hAnsi="宋体" w:eastAsia="宋体" w:cs="宋体"/>
                <w:sz w:val="24"/>
                <w:szCs w:val="24"/>
              </w:rPr>
            </w:pPr>
            <w:r>
              <w:rPr>
                <w:rFonts w:ascii="宋体" w:hAnsi="宋体" w:eastAsia="宋体" w:cs="宋体"/>
                <w:sz w:val="24"/>
                <w:szCs w:val="24"/>
              </w:rPr>
              <w:t>8</w:t>
            </w:r>
          </w:p>
        </w:tc>
        <w:tc>
          <w:tcPr>
            <w:tcW w:w="2836" w:type="dxa"/>
            <w:vAlign w:val="top"/>
          </w:tcPr>
          <w:p w14:paraId="1156065A">
            <w:pPr>
              <w:spacing w:before="85" w:line="182" w:lineRule="auto"/>
              <w:ind w:left="1383"/>
              <w:rPr>
                <w:rFonts w:ascii="宋体" w:hAnsi="宋体" w:eastAsia="宋体" w:cs="宋体"/>
                <w:sz w:val="24"/>
                <w:szCs w:val="24"/>
              </w:rPr>
            </w:pPr>
            <w:r>
              <w:rPr>
                <w:rFonts w:ascii="宋体" w:hAnsi="宋体" w:eastAsia="宋体" w:cs="宋体"/>
                <w:sz w:val="24"/>
                <w:szCs w:val="24"/>
              </w:rPr>
              <w:t>1</w:t>
            </w:r>
          </w:p>
        </w:tc>
        <w:tc>
          <w:tcPr>
            <w:tcW w:w="1564" w:type="dxa"/>
            <w:vAlign w:val="top"/>
          </w:tcPr>
          <w:p w14:paraId="256CFA73">
            <w:pPr>
              <w:spacing w:before="86" w:line="181" w:lineRule="auto"/>
              <w:ind w:left="730"/>
              <w:rPr>
                <w:rFonts w:ascii="宋体" w:hAnsi="宋体" w:eastAsia="宋体" w:cs="宋体"/>
                <w:sz w:val="24"/>
                <w:szCs w:val="24"/>
              </w:rPr>
            </w:pPr>
            <w:r>
              <w:rPr>
                <w:rFonts w:ascii="宋体" w:hAnsi="宋体" w:eastAsia="宋体" w:cs="宋体"/>
                <w:sz w:val="24"/>
                <w:szCs w:val="24"/>
              </w:rPr>
              <w:t>6</w:t>
            </w:r>
          </w:p>
        </w:tc>
      </w:tr>
    </w:tbl>
    <w:p w14:paraId="451CB571">
      <w:pPr>
        <w:rPr>
          <w:rFonts w:ascii="Arial"/>
          <w:sz w:val="21"/>
        </w:rPr>
      </w:pPr>
    </w:p>
    <w:p w14:paraId="7667E9AD">
      <w:pPr>
        <w:spacing w:line="360" w:lineRule="auto"/>
        <w:rPr>
          <w:rFonts w:hint="default" w:ascii="黑体" w:hAnsi="黑体" w:eastAsia="黑体" w:cs="黑体"/>
          <w:b/>
          <w:bCs/>
          <w:snapToGrid w:val="0"/>
          <w:color w:val="000000"/>
          <w:spacing w:val="-11"/>
          <w:sz w:val="24"/>
          <w:szCs w:val="24"/>
          <w:lang w:val="en-US" w:eastAsia="zh-CN" w:bidi="ar-SA"/>
        </w:rPr>
      </w:pPr>
    </w:p>
    <w:p w14:paraId="65A8B695">
      <w:pPr>
        <w:spacing w:line="360" w:lineRule="auto"/>
        <w:rPr>
          <w:rFonts w:hint="default" w:ascii="黑体" w:hAnsi="黑体" w:eastAsia="黑体" w:cs="黑体"/>
          <w:b/>
          <w:bCs/>
          <w:snapToGrid w:val="0"/>
          <w:color w:val="000000"/>
          <w:spacing w:val="-11"/>
          <w:sz w:val="24"/>
          <w:szCs w:val="24"/>
          <w:lang w:val="en-US" w:eastAsia="zh-CN" w:bidi="ar-SA"/>
        </w:rPr>
      </w:pPr>
    </w:p>
    <w:p w14:paraId="4906CE88">
      <w:pPr>
        <w:spacing w:before="137" w:line="360" w:lineRule="auto"/>
        <w:jc w:val="both"/>
        <w:rPr>
          <w:rFonts w:ascii="宋体" w:hAnsi="宋体" w:eastAsia="宋体" w:cs="宋体"/>
          <w:b/>
          <w:bCs/>
          <w:spacing w:val="-1"/>
          <w:sz w:val="24"/>
          <w:szCs w:val="24"/>
        </w:rPr>
      </w:pPr>
    </w:p>
    <w:p w14:paraId="52948D44">
      <w:pPr>
        <w:spacing w:before="137" w:line="360" w:lineRule="auto"/>
        <w:jc w:val="both"/>
        <w:rPr>
          <w:rFonts w:ascii="宋体" w:hAnsi="宋体" w:eastAsia="宋体" w:cs="宋体"/>
          <w:b/>
          <w:bCs/>
          <w:spacing w:val="-1"/>
          <w:sz w:val="24"/>
          <w:szCs w:val="24"/>
        </w:rPr>
      </w:pPr>
    </w:p>
    <w:p w14:paraId="5D42CB9F">
      <w:pPr>
        <w:spacing w:before="79" w:line="332" w:lineRule="auto"/>
        <w:ind w:right="212"/>
        <w:rPr>
          <w:rFonts w:hint="eastAsia" w:ascii="宋体" w:hAnsi="宋体" w:eastAsia="宋体" w:cs="宋体"/>
          <w:spacing w:val="-9"/>
          <w:sz w:val="24"/>
          <w:szCs w:val="24"/>
          <w:lang w:eastAsia="zh-CN"/>
        </w:rPr>
      </w:pPr>
    </w:p>
    <w:sectPr>
      <w:footerReference r:id="rId11" w:type="default"/>
      <w:pgSz w:w="11900" w:h="16820"/>
      <w:pgMar w:top="1633" w:right="822" w:bottom="567" w:left="822" w:header="397" w:footer="227"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B0604020202020204"/>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EFDA7">
    <w:pPr>
      <w:pStyle w:val="5"/>
      <w:rPr>
        <w:rFonts w:hint="default"/>
        <w:sz w:val="18"/>
        <w:szCs w:val="18"/>
        <w:lang w:val="en-US" w:eastAsia="zh-CN"/>
      </w:rPr>
    </w:pPr>
    <w:r>
      <w:rPr>
        <w:rFonts w:hint="eastAsia"/>
        <w:sz w:val="18"/>
        <w:szCs w:val="18"/>
        <w:lang w:val="en-US" w:eastAsia="zh-CN"/>
      </w:rPr>
      <w:t>-----------------------------------------------------------------------------------------------------------------------------------------------------------------</w:t>
    </w:r>
  </w:p>
  <w:p w14:paraId="6E51BB80">
    <w:pPr>
      <w:pStyle w:val="5"/>
      <w:rPr>
        <w:rFonts w:hint="default" w:eastAsiaTheme="minorEastAsia"/>
        <w:sz w:val="18"/>
        <w:szCs w:val="18"/>
        <w:lang w:val="en-US" w:eastAsia="zh-CN"/>
      </w:rPr>
    </w:pPr>
    <w:r>
      <w:rPr>
        <w:sz w:val="18"/>
        <w:szCs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119380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7062204">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9.4pt;height:144pt;width:144pt;mso-position-horizontal:right;mso-position-horizontal-relative:margin;mso-wrap-style:none;z-index:251659264;mso-width-relative:page;mso-height-relative:page;" filled="f" stroked="f" coordsize="21600,21600" o:gfxdata="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ddDXu0wAAAAcBAAAPAAAAAAAAAAEAIAAAACIAAABkcnMvZG93bnJldi54&#10;bWxQSwECFAAUAAAACACHTuJA3WvHNDgCAABxBAAADgAAAAAAAAABACAAAAAiAQAAZHJzL2Uyb0Rv&#10;Yy54bWxQSwUGAAAAAAYABgBZAQAAzAUAAAAA&#10;">
              <v:fill on="f" focussize="0,0"/>
              <v:stroke on="f" weight="0.5pt"/>
              <v:imagedata o:title=""/>
              <o:lock v:ext="edit" aspectratio="f"/>
              <v:textbox inset="0mm,0mm,0mm,0mm" style="mso-fit-shape-to-text:t;">
                <w:txbxContent>
                  <w:p w14:paraId="67062204">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w:t>
                    </w:r>
                    <w:r>
                      <w:fldChar w:fldCharType="end"/>
                    </w:r>
                    <w:r>
                      <w:t xml:space="preserve"> 页</w:t>
                    </w:r>
                  </w:p>
                </w:txbxContent>
              </v:textbox>
            </v:shape>
          </w:pict>
        </mc:Fallback>
      </mc:AlternateContent>
    </w:r>
    <w:r>
      <w:rPr>
        <w:rFonts w:hint="eastAsia"/>
        <w:sz w:val="18"/>
        <w:szCs w:val="18"/>
        <w:lang w:eastAsia="zh-CN"/>
      </w:rPr>
      <w:t>ZBCC中博检验认证</w:t>
    </w:r>
    <w:r>
      <w:rPr>
        <w:sz w:val="18"/>
        <w:szCs w:val="18"/>
        <w:lang w:eastAsia="zh-CN"/>
      </w:rPr>
      <w:t>技术服务（江苏）有限公司</w:t>
    </w:r>
    <w:r>
      <w:rPr>
        <w:rFonts w:hint="eastAsia"/>
        <w:sz w:val="18"/>
        <w:szCs w:val="18"/>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F1142">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65A48">
    <w:pPr>
      <w:pStyle w:val="5"/>
      <w:rPr>
        <w:rFonts w:hint="default"/>
        <w:sz w:val="18"/>
        <w:szCs w:val="18"/>
        <w:lang w:val="en-US" w:eastAsia="zh-CN"/>
      </w:rPr>
    </w:pPr>
    <w:r>
      <w:rPr>
        <w:sz w:val="18"/>
      </w:rP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119380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8666E4">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9.4pt;height:144pt;width:144pt;mso-position-horizontal:right;mso-position-horizontal-relative:margin;mso-wrap-style:none;z-index:251670528;mso-width-relative:page;mso-height-relative:page;" filled="f" stroked="f" coordsize="21600,21600" o:gfxdata="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10Ne7TAAAABwEAAA8AAAAAAAAAAQAgAAAAIgAAAGRycy9kb3ducmV2LnhtbFBLAQIU&#10;ABQAAAAIAIdO4kDHl7XOMQIAAGEEAAAOAAAAAAAAAAEAIAAAACIBAABkcnMvZTJvRG9jLnhtbFBL&#10;BQYAAAAABgAGAFkBAADFBQAAAAA=&#10;">
              <v:fill on="f" focussize="0,0"/>
              <v:stroke on="f" weight="0.5pt"/>
              <v:imagedata o:title=""/>
              <o:lock v:ext="edit" aspectratio="f"/>
              <v:textbox inset="0mm,0mm,0mm,0mm" style="mso-fit-shape-to-text:t;">
                <w:txbxContent>
                  <w:p w14:paraId="5D8666E4">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18</w:t>
                    </w:r>
                    <w:r>
                      <w:fldChar w:fldCharType="end"/>
                    </w:r>
                    <w:r>
                      <w:t xml:space="preserve"> 页</w:t>
                    </w:r>
                  </w:p>
                </w:txbxContent>
              </v:textbox>
            </v:shape>
          </w:pict>
        </mc:Fallback>
      </mc:AlternateContent>
    </w:r>
    <w:r>
      <w:rPr>
        <w:rFonts w:hint="eastAsia"/>
        <w:sz w:val="18"/>
        <w:szCs w:val="18"/>
        <w:lang w:val="en-US" w:eastAsia="zh-CN"/>
      </w:rPr>
      <w:t>-----------------------------------------------------------------------------------------------------------------------------------------------------------------</w:t>
    </w:r>
  </w:p>
  <w:p w14:paraId="3493D3F4">
    <w:pPr>
      <w:pStyle w:val="5"/>
      <w:rPr>
        <w:rFonts w:hint="default" w:eastAsiaTheme="minorEastAsia"/>
        <w:sz w:val="18"/>
        <w:szCs w:val="18"/>
        <w:lang w:val="en-US" w:eastAsia="zh-CN"/>
      </w:rPr>
    </w:pPr>
    <w:r>
      <w:rPr>
        <w:rFonts w:hint="eastAsia"/>
        <w:sz w:val="18"/>
        <w:szCs w:val="18"/>
        <w:lang w:eastAsia="zh-CN"/>
      </w:rPr>
      <w:t>中博检验认证</w:t>
    </w:r>
    <w:r>
      <w:rPr>
        <w:sz w:val="18"/>
        <w:szCs w:val="18"/>
        <w:lang w:eastAsia="zh-CN"/>
      </w:rPr>
      <w:t>技术服务（江苏）有限公司</w:t>
    </w:r>
    <w:r>
      <w:rPr>
        <w:rFonts w:hint="eastAsia"/>
        <w:sz w:val="18"/>
        <w:szCs w:val="18"/>
        <w:lang w:val="en-US"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42FAE">
    <w:pPr>
      <w:pStyle w:val="5"/>
      <w:rPr>
        <w:rFonts w:hint="default"/>
        <w:sz w:val="18"/>
        <w:szCs w:val="18"/>
        <w:lang w:val="en-US" w:eastAsia="zh-CN"/>
      </w:rPr>
    </w:pPr>
    <w:r>
      <w:rPr>
        <w:rFonts w:hint="eastAsia"/>
        <w:sz w:val="18"/>
        <w:szCs w:val="18"/>
        <w:lang w:val="en-US" w:eastAsia="zh-CN"/>
      </w:rPr>
      <w:t>-----------------------------------------------------------------------------------------------------------------------------------------------------------------</w:t>
    </w:r>
  </w:p>
  <w:p w14:paraId="4CCDD766">
    <w:pPr>
      <w:pStyle w:val="5"/>
      <w:rPr>
        <w:rFonts w:hint="default"/>
        <w:lang w:val="en-US"/>
      </w:rPr>
    </w:pPr>
    <w:r>
      <w:rPr>
        <w:rFonts w:hint="eastAsia"/>
        <w:sz w:val="18"/>
        <w:szCs w:val="18"/>
        <w:lang w:eastAsia="zh-CN"/>
      </w:rPr>
      <w:t>ZBCC中博检验认证</w:t>
    </w:r>
    <w:r>
      <w:rPr>
        <w:sz w:val="18"/>
        <w:szCs w:val="18"/>
        <w:lang w:eastAsia="zh-CN"/>
      </w:rPr>
      <w:t>技术服务（江苏）有限公司</w:t>
    </w:r>
    <w:r>
      <w:rPr>
        <w:rFonts w:hint="eastAsia"/>
        <w:sz w:val="18"/>
        <w:szCs w:val="18"/>
        <w:lang w:val="en-US" w:eastAsia="zh-CN"/>
      </w:rPr>
      <w:t xml:space="preserve"> </w:t>
    </w:r>
    <w:r>
      <w:rPr>
        <w:sz w:val="18"/>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8BA322">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eastAsia="宋体"/>
                              <w:lang w:val="en-US" w:eastAsia="zh-CN"/>
                            </w:rPr>
                            <w:t>14</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B8BA322">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eastAsia="宋体"/>
                        <w:lang w:val="en-US" w:eastAsia="zh-CN"/>
                      </w:rPr>
                      <w:t>14</w:t>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C0DB6">
    <w:pPr>
      <w:pStyle w:val="5"/>
      <w:rPr>
        <w:rFonts w:hint="default"/>
        <w:sz w:val="18"/>
        <w:szCs w:val="18"/>
        <w:lang w:val="en-US" w:eastAsia="zh-CN"/>
      </w:rPr>
    </w:pPr>
    <w:r>
      <w:rPr>
        <w:sz w:val="18"/>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119380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F49644">
                          <w:pPr>
                            <w:pStyle w:val="5"/>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9.4pt;height:144pt;width:144pt;mso-position-horizontal:right;mso-position-horizontal-relative:margin;mso-wrap-style:none;z-index:251669504;mso-width-relative:page;mso-height-relative:page;" filled="f" stroked="f" coordsize="21600,21600" o:gfxdata="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10Ne7TAAAABwEAAA8AAAAAAAAAAQAgAAAAIgAAAGRycy9kb3ducmV2LnhtbFBLAQIU&#10;ABQAAAAIAIdO4kAwiRJeMQIAAGEEAAAOAAAAAAAAAAEAIAAAACIBAABkcnMvZTJvRG9jLnhtbFBL&#10;BQYAAAAABgAGAFkBAADFBQAAAAA=&#10;">
              <v:fill on="f" focussize="0,0"/>
              <v:stroke on="f" weight="0.5pt"/>
              <v:imagedata o:title=""/>
              <o:lock v:ext="edit" aspectratio="f"/>
              <v:textbox inset="0mm,0mm,0mm,0mm" style="mso-fit-shape-to-text:t;">
                <w:txbxContent>
                  <w:p w14:paraId="0EF49644">
                    <w:pPr>
                      <w:pStyle w:val="5"/>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18</w:t>
                    </w:r>
                    <w:r>
                      <w:fldChar w:fldCharType="end"/>
                    </w:r>
                    <w:r>
                      <w:t xml:space="preserve"> 页</w:t>
                    </w:r>
                  </w:p>
                </w:txbxContent>
              </v:textbox>
            </v:shape>
          </w:pict>
        </mc:Fallback>
      </mc:AlternateContent>
    </w:r>
    <w:r>
      <w:rPr>
        <w:rFonts w:hint="eastAsia"/>
        <w:sz w:val="18"/>
        <w:szCs w:val="18"/>
        <w:lang w:val="en-US" w:eastAsia="zh-CN"/>
      </w:rPr>
      <w:t>--------------------------------------------------------------------------------------------------------------------------------------------------------------------------</w:t>
    </w:r>
  </w:p>
  <w:p w14:paraId="33FA7584">
    <w:pPr>
      <w:pStyle w:val="5"/>
      <w:rPr>
        <w:rFonts w:hint="default" w:eastAsiaTheme="minorEastAsia"/>
        <w:sz w:val="18"/>
        <w:szCs w:val="18"/>
        <w:lang w:val="en-US" w:eastAsia="zh-CN"/>
      </w:rPr>
    </w:pPr>
    <w:r>
      <w:rPr>
        <w:rFonts w:hint="eastAsia"/>
        <w:sz w:val="18"/>
        <w:szCs w:val="18"/>
        <w:lang w:eastAsia="zh-CN"/>
      </w:rPr>
      <w:t>中博检验认证</w:t>
    </w:r>
    <w:r>
      <w:rPr>
        <w:sz w:val="18"/>
        <w:szCs w:val="18"/>
        <w:lang w:eastAsia="zh-CN"/>
      </w:rPr>
      <w:t>技术服务（江苏）有限公司</w:t>
    </w:r>
    <w:r>
      <w:rPr>
        <w:rFonts w:hint="eastAsia"/>
        <w:sz w:val="18"/>
        <w:szCs w:val="18"/>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1"/>
      <w:tblW w:w="101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2"/>
      <w:gridCol w:w="4137"/>
      <w:gridCol w:w="2871"/>
      <w:gridCol w:w="1619"/>
    </w:tblGrid>
    <w:tr w14:paraId="2D63A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512" w:type="dxa"/>
          <w:vMerge w:val="restart"/>
          <w:tcBorders>
            <w:bottom w:val="nil"/>
          </w:tcBorders>
        </w:tcPr>
        <w:p w14:paraId="0F710AA5">
          <w:pPr>
            <w:pBdr>
              <w:bottom w:val="none" w:color="auto" w:sz="0" w:space="0"/>
            </w:pBdr>
            <w:spacing w:before="116" w:line="1088" w:lineRule="exact"/>
            <w:ind w:firstLine="677"/>
          </w:pPr>
          <w:r>
            <w:rPr>
              <w:rFonts w:hint="eastAsia" w:eastAsia="黑体"/>
              <w:lang w:eastAsia="zh-CN"/>
            </w:rPr>
            <w:drawing>
              <wp:anchor distT="0" distB="0" distL="114300" distR="114300" simplePos="0" relativeHeight="251660288" behindDoc="0" locked="0" layoutInCell="1" allowOverlap="1">
                <wp:simplePos x="0" y="0"/>
                <wp:positionH relativeFrom="column">
                  <wp:posOffset>50800</wp:posOffset>
                </wp:positionH>
                <wp:positionV relativeFrom="paragraph">
                  <wp:posOffset>43180</wp:posOffset>
                </wp:positionV>
                <wp:extent cx="837565" cy="706120"/>
                <wp:effectExtent l="0" t="0" r="0" b="17780"/>
                <wp:wrapNone/>
                <wp:docPr id="13" name="图片 13" descr="中博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中博LOGO"/>
                        <pic:cNvPicPr>
                          <a:picLocks noChangeAspect="1"/>
                        </pic:cNvPicPr>
                      </pic:nvPicPr>
                      <pic:blipFill>
                        <a:blip r:embed="rId1">
                          <a:clrChange>
                            <a:clrFrom>
                              <a:srgbClr val="FFFFFF">
                                <a:alpha val="100000"/>
                              </a:srgbClr>
                            </a:clrFrom>
                            <a:clrTo>
                              <a:srgbClr val="FFFFFF">
                                <a:alpha val="100000"/>
                                <a:alpha val="0"/>
                              </a:srgbClr>
                            </a:clrTo>
                          </a:clrChange>
                        </a:blip>
                        <a:stretch>
                          <a:fillRect/>
                        </a:stretch>
                      </pic:blipFill>
                      <pic:spPr>
                        <a:xfrm>
                          <a:off x="0" y="0"/>
                          <a:ext cx="837565" cy="706120"/>
                        </a:xfrm>
                        <a:prstGeom prst="rect">
                          <a:avLst/>
                        </a:prstGeom>
                      </pic:spPr>
                    </pic:pic>
                  </a:graphicData>
                </a:graphic>
              </wp:anchor>
            </w:drawing>
          </w:r>
        </w:p>
      </w:tc>
      <w:tc>
        <w:tcPr>
          <w:tcW w:w="4137" w:type="dxa"/>
          <w:vAlign w:val="center"/>
        </w:tcPr>
        <w:p w14:paraId="28835215">
          <w:pPr>
            <w:pStyle w:val="12"/>
            <w:pBdr>
              <w:bottom w:val="none" w:color="auto" w:sz="0" w:space="0"/>
            </w:pBdr>
            <w:spacing w:before="62" w:line="221" w:lineRule="auto"/>
            <w:ind w:left="3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ZBCC中博检验认证技术服务（江苏）有限公司</w:t>
          </w:r>
        </w:p>
      </w:tc>
      <w:tc>
        <w:tcPr>
          <w:tcW w:w="4490" w:type="dxa"/>
          <w:gridSpan w:val="2"/>
          <w:vAlign w:val="center"/>
        </w:tcPr>
        <w:p w14:paraId="0A3E9F6F">
          <w:pPr>
            <w:jc w:val="center"/>
            <w:rPr>
              <w:rFonts w:hint="default" w:ascii="宋体" w:hAnsi="宋体" w:eastAsia="宋体" w:cs="宋体"/>
              <w:b/>
              <w:bCs/>
              <w:spacing w:val="-2"/>
              <w:sz w:val="21"/>
              <w:szCs w:val="21"/>
              <w:lang w:val="en-US" w:eastAsia="zh-CN"/>
            </w:rPr>
          </w:pPr>
          <w:r>
            <w:rPr>
              <w:rFonts w:hint="eastAsia" w:ascii="宋体" w:hAnsi="宋体" w:eastAsia="宋体" w:cs="宋体"/>
              <w:b/>
              <w:bCs/>
              <w:spacing w:val="-2"/>
              <w:sz w:val="21"/>
              <w:szCs w:val="21"/>
              <w:lang w:val="en-US" w:eastAsia="zh-CN"/>
            </w:rPr>
            <w:t>文件名称：商品售后服务认证实施规则</w:t>
          </w:r>
        </w:p>
      </w:tc>
    </w:tr>
    <w:tr w14:paraId="28161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512" w:type="dxa"/>
          <w:vMerge w:val="continue"/>
          <w:tcBorders>
            <w:top w:val="nil"/>
          </w:tcBorders>
        </w:tcPr>
        <w:p w14:paraId="779CF72D">
          <w:pPr>
            <w:pBdr>
              <w:bottom w:val="none" w:color="auto" w:sz="0" w:space="0"/>
            </w:pBdr>
            <w:rPr>
              <w:lang w:eastAsia="zh-CN"/>
            </w:rPr>
          </w:pPr>
        </w:p>
      </w:tc>
      <w:tc>
        <w:tcPr>
          <w:tcW w:w="4137" w:type="dxa"/>
          <w:vAlign w:val="center"/>
        </w:tcPr>
        <w:p w14:paraId="16F43348">
          <w:pPr>
            <w:pStyle w:val="12"/>
            <w:pBdr>
              <w:bottom w:val="none" w:color="auto" w:sz="0" w:space="0"/>
            </w:pBdr>
            <w:spacing w:before="66" w:line="220" w:lineRule="auto"/>
            <w:ind w:left="40"/>
            <w:rPr>
              <w:rFonts w:hint="default" w:ascii="宋体" w:hAnsi="宋体" w:eastAsia="宋体" w:cs="宋体"/>
              <w:b/>
              <w:bCs/>
              <w:sz w:val="21"/>
              <w:szCs w:val="21"/>
              <w:lang w:val="en-US" w:eastAsia="zh-CN"/>
            </w:rPr>
          </w:pPr>
          <w:r>
            <w:rPr>
              <w:rFonts w:hint="eastAsia" w:ascii="宋体" w:hAnsi="宋体" w:eastAsia="宋体" w:cs="宋体"/>
              <w:b/>
              <w:bCs/>
              <w:spacing w:val="-2"/>
              <w:sz w:val="21"/>
              <w:szCs w:val="21"/>
              <w:lang w:eastAsia="zh-CN"/>
            </w:rPr>
            <w:t>文件编号：</w:t>
          </w:r>
          <w:r>
            <w:rPr>
              <w:rFonts w:hint="eastAsia" w:ascii="宋体" w:hAnsi="宋体" w:eastAsia="宋体" w:cs="宋体"/>
              <w:b/>
              <w:bCs/>
              <w:spacing w:val="-2"/>
              <w:sz w:val="21"/>
              <w:szCs w:val="21"/>
              <w:lang w:val="en-US" w:eastAsia="zh-CN"/>
            </w:rPr>
            <w:t>ZBCC</w:t>
          </w:r>
          <w:r>
            <w:rPr>
              <w:rFonts w:hint="eastAsia" w:ascii="宋体" w:hAnsi="宋体" w:eastAsia="宋体" w:cs="宋体"/>
              <w:b/>
              <w:bCs/>
              <w:spacing w:val="-2"/>
              <w:sz w:val="21"/>
              <w:szCs w:val="21"/>
              <w:lang w:eastAsia="zh-CN"/>
            </w:rPr>
            <w:t>-</w:t>
          </w:r>
          <w:r>
            <w:rPr>
              <w:rFonts w:hint="eastAsia" w:ascii="宋体" w:hAnsi="宋体" w:eastAsia="宋体" w:cs="宋体"/>
              <w:b/>
              <w:bCs/>
              <w:spacing w:val="-2"/>
              <w:sz w:val="21"/>
              <w:szCs w:val="21"/>
              <w:lang w:val="en-US" w:eastAsia="zh-CN"/>
            </w:rPr>
            <w:t>03-JS-004</w:t>
          </w:r>
        </w:p>
      </w:tc>
      <w:tc>
        <w:tcPr>
          <w:tcW w:w="2871" w:type="dxa"/>
          <w:vAlign w:val="center"/>
        </w:tcPr>
        <w:p w14:paraId="23173169">
          <w:pPr>
            <w:pStyle w:val="12"/>
            <w:pBdr>
              <w:bottom w:val="none" w:color="auto" w:sz="0" w:space="0"/>
            </w:pBdr>
            <w:spacing w:before="66" w:line="220" w:lineRule="auto"/>
            <w:ind w:left="40"/>
            <w:rPr>
              <w:rFonts w:hint="eastAsia" w:ascii="宋体" w:hAnsi="宋体" w:eastAsia="宋体" w:cs="宋体"/>
              <w:b/>
              <w:bCs/>
              <w:spacing w:val="-2"/>
              <w:sz w:val="21"/>
              <w:szCs w:val="21"/>
              <w:lang w:eastAsia="zh-CN"/>
            </w:rPr>
          </w:pPr>
          <w:r>
            <w:rPr>
              <w:rFonts w:hint="eastAsia" w:ascii="宋体" w:hAnsi="宋体" w:eastAsia="宋体" w:cs="宋体"/>
              <w:b/>
              <w:bCs/>
              <w:spacing w:val="-2"/>
              <w:sz w:val="21"/>
              <w:szCs w:val="21"/>
              <w:lang w:eastAsia="zh-CN"/>
            </w:rPr>
            <w:t>实施日期：2023年0</w:t>
          </w:r>
          <w:r>
            <w:rPr>
              <w:rFonts w:hint="eastAsia" w:ascii="宋体" w:hAnsi="宋体" w:eastAsia="宋体" w:cs="宋体"/>
              <w:b/>
              <w:bCs/>
              <w:spacing w:val="-2"/>
              <w:sz w:val="21"/>
              <w:szCs w:val="21"/>
              <w:lang w:val="en-US" w:eastAsia="zh-CN"/>
            </w:rPr>
            <w:t>8</w:t>
          </w:r>
          <w:r>
            <w:rPr>
              <w:rFonts w:hint="eastAsia" w:ascii="宋体" w:hAnsi="宋体" w:eastAsia="宋体" w:cs="宋体"/>
              <w:b/>
              <w:bCs/>
              <w:spacing w:val="-2"/>
              <w:sz w:val="21"/>
              <w:szCs w:val="21"/>
              <w:lang w:eastAsia="zh-CN"/>
            </w:rPr>
            <w:t>月</w:t>
          </w:r>
          <w:r>
            <w:rPr>
              <w:rFonts w:hint="eastAsia" w:ascii="宋体" w:hAnsi="宋体" w:eastAsia="宋体" w:cs="宋体"/>
              <w:b/>
              <w:bCs/>
              <w:spacing w:val="-2"/>
              <w:sz w:val="21"/>
              <w:szCs w:val="21"/>
              <w:lang w:val="en-US" w:eastAsia="zh-CN"/>
            </w:rPr>
            <w:t>01</w:t>
          </w:r>
          <w:r>
            <w:rPr>
              <w:rFonts w:hint="eastAsia" w:ascii="宋体" w:hAnsi="宋体" w:eastAsia="宋体" w:cs="宋体"/>
              <w:b/>
              <w:bCs/>
              <w:spacing w:val="-2"/>
              <w:sz w:val="21"/>
              <w:szCs w:val="21"/>
              <w:lang w:eastAsia="zh-CN"/>
            </w:rPr>
            <w:t>日</w:t>
          </w:r>
        </w:p>
      </w:tc>
      <w:tc>
        <w:tcPr>
          <w:tcW w:w="1619" w:type="dxa"/>
          <w:vAlign w:val="center"/>
        </w:tcPr>
        <w:p w14:paraId="075EDD6A">
          <w:pPr>
            <w:pStyle w:val="12"/>
            <w:pBdr>
              <w:bottom w:val="none" w:color="auto" w:sz="0" w:space="0"/>
            </w:pBdr>
            <w:spacing w:before="66" w:line="220" w:lineRule="auto"/>
            <w:ind w:left="40"/>
            <w:rPr>
              <w:rFonts w:hint="eastAsia" w:ascii="宋体" w:hAnsi="宋体" w:eastAsia="宋体" w:cs="宋体"/>
              <w:b/>
              <w:bCs/>
              <w:spacing w:val="-2"/>
              <w:sz w:val="21"/>
              <w:szCs w:val="21"/>
              <w:lang w:eastAsia="zh-CN"/>
            </w:rPr>
          </w:pPr>
          <w:r>
            <w:rPr>
              <w:rFonts w:hint="eastAsia" w:ascii="宋体" w:hAnsi="宋体" w:eastAsia="宋体" w:cs="宋体"/>
              <w:b/>
              <w:bCs/>
              <w:spacing w:val="-2"/>
              <w:sz w:val="21"/>
              <w:szCs w:val="21"/>
              <w:lang w:eastAsia="zh-CN"/>
            </w:rPr>
            <w:t>版本：A</w:t>
          </w:r>
          <w:r>
            <w:rPr>
              <w:rFonts w:hint="eastAsia" w:ascii="宋体" w:hAnsi="宋体" w:eastAsia="宋体" w:cs="宋体"/>
              <w:b/>
              <w:bCs/>
              <w:spacing w:val="-2"/>
              <w:sz w:val="21"/>
              <w:szCs w:val="21"/>
              <w:lang w:val="en-US" w:eastAsia="zh-CN"/>
            </w:rPr>
            <w:t>/</w:t>
          </w:r>
          <w:r>
            <w:rPr>
              <w:rFonts w:hint="eastAsia" w:ascii="宋体" w:hAnsi="宋体" w:eastAsia="宋体" w:cs="宋体"/>
              <w:b/>
              <w:bCs/>
              <w:spacing w:val="-2"/>
              <w:sz w:val="21"/>
              <w:szCs w:val="21"/>
              <w:lang w:eastAsia="zh-CN"/>
            </w:rPr>
            <w:t>0</w:t>
          </w:r>
        </w:p>
      </w:tc>
    </w:tr>
  </w:tbl>
  <w:p w14:paraId="0CA161C6">
    <w:pPr>
      <w:pBdr>
        <w:bottom w:val="none" w:color="auto" w:sz="0" w:space="0"/>
      </w:pBdr>
      <w:spacing w:line="14" w:lineRule="auto"/>
      <w:rPr>
        <w:sz w:val="2"/>
      </w:rPr>
    </w:pPr>
    <w:r>
      <w:rPr>
        <w:sz w:val="2"/>
      </w:rPr>
      <w:pict>
        <v:shape id="_x0000_s2049" o:spid="_x0000_s2049" o:spt="136" type="#_x0000_t136" style="position:absolute;left:0pt;height:90.2pt;width:593.05pt;mso-position-horizontal:center;mso-position-horizontal-relative:margin;mso-position-vertical:center;mso-position-vertical-relative:margin;rotation:-2949120f;z-index:-251654144;mso-width-relative:page;mso-height-relative:page;" fillcolor="#C0C0C0" filled="t" stroked="f" coordsize="21600,21600" adj="10800">
          <v:path/>
          <v:fill on="t" opacity="17694f" focussize="0,0"/>
          <v:stroke on="f"/>
          <v:imagedata o:title=""/>
          <o:lock v:ext="edit" aspectratio="t"/>
          <v:textpath on="t" fitshape="t" fitpath="t" trim="t" xscale="f" string="ZBCC中博检验认证" style="font-family:微软雅黑;font-size:36pt;v-same-letter-heights:f;v-text-align:center;"/>
        </v:shape>
      </w:pict>
    </w:r>
    <w:r>
      <w:rPr>
        <w:sz w:val="18"/>
      </w:rPr>
      <w:drawing>
        <wp:anchor distT="0" distB="0" distL="114300" distR="114300" simplePos="0" relativeHeight="251671552" behindDoc="1" locked="0" layoutInCell="1" allowOverlap="1">
          <wp:simplePos x="0" y="0"/>
          <wp:positionH relativeFrom="margin">
            <wp:align>center</wp:align>
          </wp:positionH>
          <wp:positionV relativeFrom="margin">
            <wp:align>center</wp:align>
          </wp:positionV>
          <wp:extent cx="5274310" cy="4445000"/>
          <wp:effectExtent l="0" t="0" r="2540" b="12700"/>
          <wp:wrapNone/>
          <wp:docPr id="1" name="WordPictureWatermark9525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95258" descr="图片1"/>
                  <pic:cNvPicPr>
                    <a:picLocks noChangeAspect="1"/>
                  </pic:cNvPicPr>
                </pic:nvPicPr>
                <pic:blipFill>
                  <a:blip r:embed="rId2">
                    <a:lum bright="69998" contrast="-70001"/>
                  </a:blip>
                  <a:stretch>
                    <a:fillRect/>
                  </a:stretch>
                </pic:blipFill>
                <pic:spPr>
                  <a:xfrm>
                    <a:off x="0" y="0"/>
                    <a:ext cx="5274310" cy="44450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B45FC">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AAB8F">
    <w:pPr>
      <w:pStyle w:val="6"/>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1"/>
      <w:tblW w:w="1021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3"/>
      <w:gridCol w:w="4057"/>
      <w:gridCol w:w="4638"/>
    </w:tblGrid>
    <w:tr w14:paraId="2C7CC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1523" w:type="dxa"/>
          <w:vMerge w:val="restart"/>
          <w:tcBorders>
            <w:bottom w:val="nil"/>
          </w:tcBorders>
        </w:tcPr>
        <w:p w14:paraId="2E12AA56">
          <w:pPr>
            <w:pBdr>
              <w:bottom w:val="none" w:color="auto" w:sz="0" w:space="0"/>
            </w:pBdr>
            <w:spacing w:before="116" w:line="1088" w:lineRule="exact"/>
            <w:ind w:firstLine="677"/>
          </w:pPr>
          <w:r>
            <w:rPr>
              <w:rFonts w:hint="eastAsia" w:eastAsia="黑体"/>
              <w:lang w:eastAsia="zh-CN"/>
            </w:rPr>
            <w:drawing>
              <wp:anchor distT="0" distB="0" distL="114300" distR="114300" simplePos="0" relativeHeight="251660288" behindDoc="0" locked="0" layoutInCell="1" allowOverlap="1">
                <wp:simplePos x="0" y="0"/>
                <wp:positionH relativeFrom="column">
                  <wp:posOffset>50800</wp:posOffset>
                </wp:positionH>
                <wp:positionV relativeFrom="paragraph">
                  <wp:posOffset>43180</wp:posOffset>
                </wp:positionV>
                <wp:extent cx="790575" cy="666750"/>
                <wp:effectExtent l="0" t="0" r="9525" b="6350"/>
                <wp:wrapNone/>
                <wp:docPr id="20" name="图片 20" descr="中博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中博LOGO"/>
                        <pic:cNvPicPr>
                          <a:picLocks noChangeAspect="1"/>
                        </pic:cNvPicPr>
                      </pic:nvPicPr>
                      <pic:blipFill>
                        <a:blip r:embed="rId1"/>
                        <a:stretch>
                          <a:fillRect/>
                        </a:stretch>
                      </pic:blipFill>
                      <pic:spPr>
                        <a:xfrm>
                          <a:off x="0" y="0"/>
                          <a:ext cx="790575" cy="666750"/>
                        </a:xfrm>
                        <a:prstGeom prst="rect">
                          <a:avLst/>
                        </a:prstGeom>
                      </pic:spPr>
                    </pic:pic>
                  </a:graphicData>
                </a:graphic>
              </wp:anchor>
            </w:drawing>
          </w:r>
        </w:p>
      </w:tc>
      <w:tc>
        <w:tcPr>
          <w:tcW w:w="4057" w:type="dxa"/>
          <w:vAlign w:val="center"/>
        </w:tcPr>
        <w:p w14:paraId="42159E94">
          <w:pPr>
            <w:pStyle w:val="12"/>
            <w:pBdr>
              <w:bottom w:val="none" w:color="auto" w:sz="0" w:space="0"/>
            </w:pBdr>
            <w:spacing w:before="62" w:line="221" w:lineRule="auto"/>
            <w:ind w:left="3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中博检验认证技术服务（江苏）有限公司</w:t>
          </w:r>
        </w:p>
      </w:tc>
      <w:tc>
        <w:tcPr>
          <w:tcW w:w="4638" w:type="dxa"/>
          <w:vAlign w:val="center"/>
        </w:tcPr>
        <w:p w14:paraId="56B23573">
          <w:pPr>
            <w:pStyle w:val="12"/>
            <w:pBdr>
              <w:bottom w:val="none" w:color="auto" w:sz="0" w:space="0"/>
            </w:pBdr>
            <w:spacing w:before="34" w:line="219" w:lineRule="auto"/>
            <w:ind w:left="37"/>
            <w:rPr>
              <w:rFonts w:hint="eastAsia" w:ascii="宋体" w:hAnsi="宋体" w:eastAsia="宋体" w:cs="宋体"/>
              <w:b/>
              <w:bCs/>
              <w:sz w:val="21"/>
              <w:szCs w:val="21"/>
              <w:lang w:eastAsia="zh-CN"/>
            </w:rPr>
          </w:pPr>
          <w:r>
            <w:rPr>
              <w:rFonts w:hint="eastAsia" w:ascii="宋体" w:hAnsi="宋体" w:eastAsia="宋体" w:cs="宋体"/>
              <w:b/>
              <w:bCs/>
              <w:spacing w:val="-1"/>
              <w:sz w:val="21"/>
              <w:szCs w:val="21"/>
              <w:lang w:eastAsia="zh-CN"/>
            </w:rPr>
            <w:t>文件名称：</w:t>
          </w:r>
          <w:r>
            <w:rPr>
              <w:rFonts w:hint="eastAsia" w:ascii="宋体" w:hAnsi="宋体" w:eastAsia="宋体" w:cs="宋体"/>
              <w:b/>
              <w:bCs/>
              <w:spacing w:val="-1"/>
              <w:sz w:val="21"/>
              <w:szCs w:val="21"/>
              <w:lang w:val="en-US" w:eastAsia="zh-CN"/>
            </w:rPr>
            <w:t>有害物质过程管理</w:t>
          </w:r>
          <w:r>
            <w:rPr>
              <w:rFonts w:hint="eastAsia" w:ascii="宋体" w:hAnsi="宋体" w:eastAsia="宋体" w:cs="宋体"/>
              <w:b/>
              <w:bCs/>
              <w:spacing w:val="-2"/>
              <w:sz w:val="21"/>
              <w:szCs w:val="21"/>
              <w:lang w:val="en-US" w:eastAsia="zh-CN"/>
            </w:rPr>
            <w:t>体系认证规则</w:t>
          </w:r>
        </w:p>
      </w:tc>
    </w:tr>
    <w:tr w14:paraId="16FD6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jc w:val="center"/>
      </w:trPr>
      <w:tc>
        <w:tcPr>
          <w:tcW w:w="1523" w:type="dxa"/>
          <w:vMerge w:val="continue"/>
          <w:tcBorders>
            <w:top w:val="nil"/>
          </w:tcBorders>
        </w:tcPr>
        <w:p w14:paraId="7F04E325">
          <w:pPr>
            <w:pBdr>
              <w:bottom w:val="none" w:color="auto" w:sz="0" w:space="0"/>
            </w:pBdr>
            <w:rPr>
              <w:lang w:eastAsia="zh-CN"/>
            </w:rPr>
          </w:pPr>
        </w:p>
      </w:tc>
      <w:tc>
        <w:tcPr>
          <w:tcW w:w="4057" w:type="dxa"/>
          <w:vAlign w:val="center"/>
        </w:tcPr>
        <w:p w14:paraId="28E6FDBE">
          <w:pPr>
            <w:pStyle w:val="12"/>
            <w:pBdr>
              <w:bottom w:val="none" w:color="auto" w:sz="0" w:space="0"/>
            </w:pBdr>
            <w:spacing w:before="66" w:line="220" w:lineRule="auto"/>
            <w:ind w:left="40"/>
            <w:rPr>
              <w:rFonts w:hint="default" w:ascii="宋体" w:hAnsi="宋体" w:eastAsia="宋体" w:cs="宋体"/>
              <w:b/>
              <w:bCs/>
              <w:sz w:val="21"/>
              <w:szCs w:val="21"/>
              <w:lang w:val="en-US" w:eastAsia="zh-CN"/>
            </w:rPr>
          </w:pPr>
          <w:r>
            <w:rPr>
              <w:rFonts w:hint="eastAsia" w:ascii="宋体" w:hAnsi="宋体" w:eastAsia="宋体" w:cs="宋体"/>
              <w:b/>
              <w:bCs/>
              <w:spacing w:val="-2"/>
              <w:sz w:val="21"/>
              <w:szCs w:val="21"/>
              <w:lang w:eastAsia="zh-CN"/>
            </w:rPr>
            <w:t>文件编号：</w:t>
          </w:r>
          <w:r>
            <w:rPr>
              <w:rFonts w:hint="eastAsia" w:ascii="宋体" w:hAnsi="宋体" w:eastAsia="宋体" w:cs="宋体"/>
              <w:b/>
              <w:bCs/>
              <w:spacing w:val="-2"/>
              <w:sz w:val="21"/>
              <w:szCs w:val="21"/>
              <w:lang w:val="en-US" w:eastAsia="zh-CN"/>
            </w:rPr>
            <w:t>ZBCC-RZGZ-008</w:t>
          </w:r>
        </w:p>
      </w:tc>
      <w:tc>
        <w:tcPr>
          <w:tcW w:w="4638" w:type="dxa"/>
          <w:vAlign w:val="center"/>
        </w:tcPr>
        <w:p w14:paraId="37EC6B90">
          <w:pPr>
            <w:pBdr>
              <w:bottom w:val="none" w:color="auto" w:sz="0" w:space="0"/>
            </w:pBdr>
            <w:spacing w:before="54" w:line="226" w:lineRule="auto"/>
            <w:jc w:val="left"/>
            <w:rPr>
              <w:rFonts w:hint="eastAsia" w:ascii="宋体" w:hAnsi="宋体" w:eastAsia="宋体" w:cs="宋体"/>
              <w:b/>
              <w:bCs/>
              <w:sz w:val="21"/>
              <w:szCs w:val="21"/>
            </w:rPr>
          </w:pPr>
          <w:r>
            <w:rPr>
              <w:rFonts w:hint="eastAsia" w:ascii="宋体" w:hAnsi="宋体" w:eastAsia="宋体" w:cs="宋体"/>
              <w:b/>
              <w:bCs/>
              <w:spacing w:val="-3"/>
              <w:sz w:val="21"/>
              <w:szCs w:val="21"/>
            </w:rPr>
            <w:t>实施日期</w:t>
          </w:r>
          <w:r>
            <w:rPr>
              <w:rFonts w:hint="eastAsia" w:ascii="宋体" w:hAnsi="宋体" w:eastAsia="宋体" w:cs="宋体"/>
              <w:b/>
              <w:bCs/>
              <w:spacing w:val="-3"/>
              <w:sz w:val="21"/>
              <w:szCs w:val="21"/>
              <w:lang w:eastAsia="zh-CN"/>
            </w:rPr>
            <w:t>：</w:t>
          </w:r>
          <w:r>
            <w:rPr>
              <w:rFonts w:hint="eastAsia" w:ascii="宋体" w:hAnsi="宋体" w:eastAsia="宋体" w:cs="宋体"/>
              <w:b/>
              <w:bCs/>
              <w:snapToGrid w:val="0"/>
              <w:color w:val="000000"/>
              <w:spacing w:val="-1"/>
              <w:sz w:val="21"/>
              <w:szCs w:val="21"/>
              <w:lang w:val="en-US" w:eastAsia="zh-CN" w:bidi="ar-SA"/>
            </w:rPr>
            <w:t>2024年10月20日</w:t>
          </w:r>
        </w:p>
      </w:tc>
    </w:tr>
  </w:tbl>
  <w:p w14:paraId="07860FB5">
    <w:pPr>
      <w:pBdr>
        <w:bottom w:val="none" w:color="auto" w:sz="0" w:space="0"/>
      </w:pBdr>
      <w:spacing w:line="14" w:lineRule="auto"/>
      <w:rPr>
        <w:sz w:val="2"/>
      </w:rPr>
    </w:pPr>
    <w:r>
      <w:rPr>
        <w:sz w:val="18"/>
      </w:rPr>
      <w:drawing>
        <wp:anchor distT="0" distB="0" distL="114300" distR="114300" simplePos="0" relativeHeight="251672576" behindDoc="1" locked="0" layoutInCell="1" allowOverlap="1">
          <wp:simplePos x="0" y="0"/>
          <wp:positionH relativeFrom="margin">
            <wp:align>center</wp:align>
          </wp:positionH>
          <wp:positionV relativeFrom="margin">
            <wp:align>center</wp:align>
          </wp:positionV>
          <wp:extent cx="5274310" cy="4445000"/>
          <wp:effectExtent l="0" t="0" r="2540" b="12700"/>
          <wp:wrapNone/>
          <wp:docPr id="10" name="WordPictureWatermark9525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95258" descr="图片1"/>
                  <pic:cNvPicPr>
                    <a:picLocks noChangeAspect="1"/>
                  </pic:cNvPicPr>
                </pic:nvPicPr>
                <pic:blipFill>
                  <a:blip r:embed="rId2">
                    <a:lum bright="69998" contrast="-70001"/>
                  </a:blip>
                  <a:stretch>
                    <a:fillRect/>
                  </a:stretch>
                </pic:blipFill>
                <pic:spPr>
                  <a:xfrm>
                    <a:off x="0" y="0"/>
                    <a:ext cx="5274310" cy="444500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dit="forms" w:enforcement="1" w:cryptProviderType="rsaFull" w:cryptAlgorithmClass="hash" w:cryptAlgorithmType="typeAny" w:cryptAlgorithmSid="4" w:cryptSpinCount="0" w:hash="xNWkTrzxWCxh6HBdwzHl0A2lQ+M=" w:salt="AXiPVs1yX1EJlUgm4m5cEQ=="/>
  <w:defaultTabStop w:val="420"/>
  <w:drawingGridHorizontalSpacing w:val="105"/>
  <w:displayHorizontalDrawingGridEvery w:val="1"/>
  <w:displayVerticalDrawingGridEvery w:val="1"/>
  <w:noPunctuationKerning w:val="1"/>
  <w:characterSpacingControl w:val="doNotCompress"/>
  <w:hdrShapeDefaults>
    <o:shapelayout v:ext="edit">
      <o:idmap v:ext="edit" data="2"/>
    </o:shapelayout>
  </w:hdrShapeDefaults>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zNzg4ZDg1ZWQ2NWM2YThjNjdlYzFhZGJiZDljMTEifQ=="/>
  </w:docVars>
  <w:rsids>
    <w:rsidRoot w:val="00172A27"/>
    <w:rsid w:val="000037C4"/>
    <w:rsid w:val="001313AC"/>
    <w:rsid w:val="001B0AD8"/>
    <w:rsid w:val="003D197C"/>
    <w:rsid w:val="00410868"/>
    <w:rsid w:val="00443B2B"/>
    <w:rsid w:val="004677DB"/>
    <w:rsid w:val="00491734"/>
    <w:rsid w:val="004A57A5"/>
    <w:rsid w:val="00526620"/>
    <w:rsid w:val="005419AA"/>
    <w:rsid w:val="00590F0C"/>
    <w:rsid w:val="005A1492"/>
    <w:rsid w:val="00712B95"/>
    <w:rsid w:val="007935EB"/>
    <w:rsid w:val="008727F1"/>
    <w:rsid w:val="00882F59"/>
    <w:rsid w:val="008A4145"/>
    <w:rsid w:val="008F5FFF"/>
    <w:rsid w:val="008F6E8B"/>
    <w:rsid w:val="009407ED"/>
    <w:rsid w:val="00AE3D2F"/>
    <w:rsid w:val="00AF7661"/>
    <w:rsid w:val="00B24980"/>
    <w:rsid w:val="00B613CE"/>
    <w:rsid w:val="00BC10FD"/>
    <w:rsid w:val="00C27E7B"/>
    <w:rsid w:val="00C36B5B"/>
    <w:rsid w:val="00C47923"/>
    <w:rsid w:val="00E0766B"/>
    <w:rsid w:val="00E45416"/>
    <w:rsid w:val="00EB443B"/>
    <w:rsid w:val="00EB7063"/>
    <w:rsid w:val="00ED067E"/>
    <w:rsid w:val="00F32A16"/>
    <w:rsid w:val="00F61C9D"/>
    <w:rsid w:val="00FD60BE"/>
    <w:rsid w:val="010F6DB3"/>
    <w:rsid w:val="0112363F"/>
    <w:rsid w:val="0124642E"/>
    <w:rsid w:val="0136273B"/>
    <w:rsid w:val="01A00C4B"/>
    <w:rsid w:val="020236B3"/>
    <w:rsid w:val="0207305F"/>
    <w:rsid w:val="0213533D"/>
    <w:rsid w:val="02203B3A"/>
    <w:rsid w:val="02385327"/>
    <w:rsid w:val="024C492F"/>
    <w:rsid w:val="02644254"/>
    <w:rsid w:val="02AE7397"/>
    <w:rsid w:val="03062D2F"/>
    <w:rsid w:val="030A6CC4"/>
    <w:rsid w:val="030B6598"/>
    <w:rsid w:val="03165668"/>
    <w:rsid w:val="03705C84"/>
    <w:rsid w:val="03800D34"/>
    <w:rsid w:val="03B5196C"/>
    <w:rsid w:val="03C70711"/>
    <w:rsid w:val="0427672E"/>
    <w:rsid w:val="04483B5B"/>
    <w:rsid w:val="04AC17B5"/>
    <w:rsid w:val="04E71358"/>
    <w:rsid w:val="05041A5C"/>
    <w:rsid w:val="05614B95"/>
    <w:rsid w:val="05A52CD4"/>
    <w:rsid w:val="05C310BF"/>
    <w:rsid w:val="060E2B1D"/>
    <w:rsid w:val="061439B5"/>
    <w:rsid w:val="06EB2968"/>
    <w:rsid w:val="06F51A39"/>
    <w:rsid w:val="07516F96"/>
    <w:rsid w:val="075503FD"/>
    <w:rsid w:val="0765096C"/>
    <w:rsid w:val="078828AD"/>
    <w:rsid w:val="08275C22"/>
    <w:rsid w:val="086724C2"/>
    <w:rsid w:val="08CE42F2"/>
    <w:rsid w:val="08E026B7"/>
    <w:rsid w:val="09297778"/>
    <w:rsid w:val="09342B67"/>
    <w:rsid w:val="093A1985"/>
    <w:rsid w:val="09405B5F"/>
    <w:rsid w:val="09BE0A46"/>
    <w:rsid w:val="09C13E54"/>
    <w:rsid w:val="09C82A7E"/>
    <w:rsid w:val="09CF031F"/>
    <w:rsid w:val="0A7D7D7B"/>
    <w:rsid w:val="0A80786B"/>
    <w:rsid w:val="0A8E01DA"/>
    <w:rsid w:val="0A9B2C6F"/>
    <w:rsid w:val="0ABB08A3"/>
    <w:rsid w:val="0ACE6829"/>
    <w:rsid w:val="0AD027B2"/>
    <w:rsid w:val="0ADB7197"/>
    <w:rsid w:val="0AEC6CAF"/>
    <w:rsid w:val="0B065FC2"/>
    <w:rsid w:val="0B1A7CC0"/>
    <w:rsid w:val="0B892750"/>
    <w:rsid w:val="0BD47E6F"/>
    <w:rsid w:val="0C197F77"/>
    <w:rsid w:val="0C360B29"/>
    <w:rsid w:val="0C444B1C"/>
    <w:rsid w:val="0CCA3020"/>
    <w:rsid w:val="0CE57E5A"/>
    <w:rsid w:val="0CF602B9"/>
    <w:rsid w:val="0CFB142B"/>
    <w:rsid w:val="0D3259C0"/>
    <w:rsid w:val="0D6F6E94"/>
    <w:rsid w:val="0D7B0878"/>
    <w:rsid w:val="0DDA1988"/>
    <w:rsid w:val="0DF540CC"/>
    <w:rsid w:val="0E8F2773"/>
    <w:rsid w:val="0EB21FBD"/>
    <w:rsid w:val="0EB43257"/>
    <w:rsid w:val="0ED85EC8"/>
    <w:rsid w:val="0EE632F1"/>
    <w:rsid w:val="0EEA1757"/>
    <w:rsid w:val="0F112A88"/>
    <w:rsid w:val="0F362885"/>
    <w:rsid w:val="0F59068B"/>
    <w:rsid w:val="0FFD40F5"/>
    <w:rsid w:val="10212CDF"/>
    <w:rsid w:val="103B711E"/>
    <w:rsid w:val="104650B3"/>
    <w:rsid w:val="104E0749"/>
    <w:rsid w:val="105A5869"/>
    <w:rsid w:val="10846B12"/>
    <w:rsid w:val="108C64EF"/>
    <w:rsid w:val="10B34FE7"/>
    <w:rsid w:val="10CD7582"/>
    <w:rsid w:val="10D42D88"/>
    <w:rsid w:val="111F70FF"/>
    <w:rsid w:val="113E3FDC"/>
    <w:rsid w:val="11472E91"/>
    <w:rsid w:val="117D46C8"/>
    <w:rsid w:val="119D0D03"/>
    <w:rsid w:val="119F3673"/>
    <w:rsid w:val="11AA3420"/>
    <w:rsid w:val="11C664AC"/>
    <w:rsid w:val="11EB4164"/>
    <w:rsid w:val="12062478"/>
    <w:rsid w:val="1222054A"/>
    <w:rsid w:val="12607838"/>
    <w:rsid w:val="126927B2"/>
    <w:rsid w:val="129465AA"/>
    <w:rsid w:val="12AF0CEE"/>
    <w:rsid w:val="12D90460"/>
    <w:rsid w:val="12F31522"/>
    <w:rsid w:val="12F928B1"/>
    <w:rsid w:val="13113593"/>
    <w:rsid w:val="134C6044"/>
    <w:rsid w:val="13D03611"/>
    <w:rsid w:val="145C5320"/>
    <w:rsid w:val="1468384A"/>
    <w:rsid w:val="14737D74"/>
    <w:rsid w:val="14FB46BE"/>
    <w:rsid w:val="15D942D4"/>
    <w:rsid w:val="163C4F8E"/>
    <w:rsid w:val="168D7598"/>
    <w:rsid w:val="16A071E2"/>
    <w:rsid w:val="16B066C9"/>
    <w:rsid w:val="16DC22CD"/>
    <w:rsid w:val="16FE3271"/>
    <w:rsid w:val="17101F77"/>
    <w:rsid w:val="17322405"/>
    <w:rsid w:val="17640153"/>
    <w:rsid w:val="17AA4179"/>
    <w:rsid w:val="17CC2342"/>
    <w:rsid w:val="17E01949"/>
    <w:rsid w:val="180715CC"/>
    <w:rsid w:val="1808577F"/>
    <w:rsid w:val="18095344"/>
    <w:rsid w:val="180A4C18"/>
    <w:rsid w:val="181B3E55"/>
    <w:rsid w:val="185A794E"/>
    <w:rsid w:val="188E04E5"/>
    <w:rsid w:val="189270E7"/>
    <w:rsid w:val="192F4936"/>
    <w:rsid w:val="193E1044"/>
    <w:rsid w:val="19483000"/>
    <w:rsid w:val="194C25FC"/>
    <w:rsid w:val="19622F5E"/>
    <w:rsid w:val="196640D0"/>
    <w:rsid w:val="19717B4A"/>
    <w:rsid w:val="199A3E11"/>
    <w:rsid w:val="19B66E06"/>
    <w:rsid w:val="1A18407F"/>
    <w:rsid w:val="1A491A28"/>
    <w:rsid w:val="1A58610F"/>
    <w:rsid w:val="1A8B2040"/>
    <w:rsid w:val="1A9829AF"/>
    <w:rsid w:val="1AA86071"/>
    <w:rsid w:val="1AA95333"/>
    <w:rsid w:val="1AB57353"/>
    <w:rsid w:val="1ABA7766"/>
    <w:rsid w:val="1ACC4407"/>
    <w:rsid w:val="1AE17EB2"/>
    <w:rsid w:val="1AEE0821"/>
    <w:rsid w:val="1AF44089"/>
    <w:rsid w:val="1AFB27F7"/>
    <w:rsid w:val="1B1262BE"/>
    <w:rsid w:val="1B1A7868"/>
    <w:rsid w:val="1B803B6F"/>
    <w:rsid w:val="1BBB45CD"/>
    <w:rsid w:val="1BCF2401"/>
    <w:rsid w:val="1BF6343D"/>
    <w:rsid w:val="1C3861F8"/>
    <w:rsid w:val="1CB3762C"/>
    <w:rsid w:val="1D1B49AD"/>
    <w:rsid w:val="1DA11B7B"/>
    <w:rsid w:val="1DB001FD"/>
    <w:rsid w:val="1DE5415D"/>
    <w:rsid w:val="1DF32129"/>
    <w:rsid w:val="1DF919B7"/>
    <w:rsid w:val="1E2065DE"/>
    <w:rsid w:val="1E25626F"/>
    <w:rsid w:val="1E311151"/>
    <w:rsid w:val="1E6908EA"/>
    <w:rsid w:val="1ECE6E75"/>
    <w:rsid w:val="1EEC21CF"/>
    <w:rsid w:val="1F0625DD"/>
    <w:rsid w:val="1F072441"/>
    <w:rsid w:val="1F5F1CED"/>
    <w:rsid w:val="1FC54B9D"/>
    <w:rsid w:val="1FFB1A16"/>
    <w:rsid w:val="201605FE"/>
    <w:rsid w:val="2043516B"/>
    <w:rsid w:val="204F1D62"/>
    <w:rsid w:val="206567EC"/>
    <w:rsid w:val="207672EF"/>
    <w:rsid w:val="20C847C5"/>
    <w:rsid w:val="21156B08"/>
    <w:rsid w:val="213D7E0C"/>
    <w:rsid w:val="215F4C87"/>
    <w:rsid w:val="217750CC"/>
    <w:rsid w:val="21B53E47"/>
    <w:rsid w:val="21BD7368"/>
    <w:rsid w:val="21C347B6"/>
    <w:rsid w:val="223631D9"/>
    <w:rsid w:val="22513B6F"/>
    <w:rsid w:val="22573150"/>
    <w:rsid w:val="228A0E2F"/>
    <w:rsid w:val="22C22CF7"/>
    <w:rsid w:val="2368163D"/>
    <w:rsid w:val="23691B12"/>
    <w:rsid w:val="23775858"/>
    <w:rsid w:val="238C0CE3"/>
    <w:rsid w:val="238E2BA1"/>
    <w:rsid w:val="23A83C63"/>
    <w:rsid w:val="23AB72AF"/>
    <w:rsid w:val="24030E99"/>
    <w:rsid w:val="24373239"/>
    <w:rsid w:val="246062EC"/>
    <w:rsid w:val="24635DDC"/>
    <w:rsid w:val="24BB79C6"/>
    <w:rsid w:val="24BF6A58"/>
    <w:rsid w:val="25507C54"/>
    <w:rsid w:val="259C77F7"/>
    <w:rsid w:val="25A93A08"/>
    <w:rsid w:val="25B0743F"/>
    <w:rsid w:val="25FC2044"/>
    <w:rsid w:val="26151358"/>
    <w:rsid w:val="26A56238"/>
    <w:rsid w:val="26C16DEA"/>
    <w:rsid w:val="26D7485F"/>
    <w:rsid w:val="27315D1D"/>
    <w:rsid w:val="27550B20"/>
    <w:rsid w:val="276A0C4E"/>
    <w:rsid w:val="278A5AE8"/>
    <w:rsid w:val="278C68D9"/>
    <w:rsid w:val="27B22717"/>
    <w:rsid w:val="27E62FAC"/>
    <w:rsid w:val="27F61922"/>
    <w:rsid w:val="280F3966"/>
    <w:rsid w:val="28706D19"/>
    <w:rsid w:val="287405B8"/>
    <w:rsid w:val="28767A0D"/>
    <w:rsid w:val="288162F3"/>
    <w:rsid w:val="28B906C0"/>
    <w:rsid w:val="28BA53AB"/>
    <w:rsid w:val="28BA7F95"/>
    <w:rsid w:val="28CC03F4"/>
    <w:rsid w:val="28DE73BB"/>
    <w:rsid w:val="28E15521"/>
    <w:rsid w:val="28F90ABD"/>
    <w:rsid w:val="290D27BA"/>
    <w:rsid w:val="29114058"/>
    <w:rsid w:val="29351EDB"/>
    <w:rsid w:val="293E5DCA"/>
    <w:rsid w:val="29564161"/>
    <w:rsid w:val="295E3016"/>
    <w:rsid w:val="29AC3D81"/>
    <w:rsid w:val="2A0911D4"/>
    <w:rsid w:val="2A151926"/>
    <w:rsid w:val="2A8B1BE9"/>
    <w:rsid w:val="2AA2608E"/>
    <w:rsid w:val="2AA4545A"/>
    <w:rsid w:val="2AD72FAC"/>
    <w:rsid w:val="2AFE685E"/>
    <w:rsid w:val="2B4C75CA"/>
    <w:rsid w:val="2B746B21"/>
    <w:rsid w:val="2B8C5491"/>
    <w:rsid w:val="2B9B22FF"/>
    <w:rsid w:val="2BAF7B59"/>
    <w:rsid w:val="2BB807BB"/>
    <w:rsid w:val="2BDB6BA0"/>
    <w:rsid w:val="2BDE3F9A"/>
    <w:rsid w:val="2C2440A3"/>
    <w:rsid w:val="2C3D6F12"/>
    <w:rsid w:val="2C4604BD"/>
    <w:rsid w:val="2C626979"/>
    <w:rsid w:val="2C6941AB"/>
    <w:rsid w:val="2C7C7A3B"/>
    <w:rsid w:val="2C937E06"/>
    <w:rsid w:val="2C994A91"/>
    <w:rsid w:val="2CAB6572"/>
    <w:rsid w:val="2CB82A3D"/>
    <w:rsid w:val="2CFE48F4"/>
    <w:rsid w:val="2D6F496A"/>
    <w:rsid w:val="2DA336ED"/>
    <w:rsid w:val="2DBF7F69"/>
    <w:rsid w:val="2DCF6290"/>
    <w:rsid w:val="2DDF0F4E"/>
    <w:rsid w:val="2DEB4584"/>
    <w:rsid w:val="2DF87595"/>
    <w:rsid w:val="2E0A179A"/>
    <w:rsid w:val="2E20089A"/>
    <w:rsid w:val="2E2760CC"/>
    <w:rsid w:val="2E497DF1"/>
    <w:rsid w:val="2EA80FBB"/>
    <w:rsid w:val="2EB32116"/>
    <w:rsid w:val="2ECD6C74"/>
    <w:rsid w:val="2F021EC9"/>
    <w:rsid w:val="2F486E88"/>
    <w:rsid w:val="2F511653"/>
    <w:rsid w:val="2F650C5A"/>
    <w:rsid w:val="2F81180C"/>
    <w:rsid w:val="2F8465C8"/>
    <w:rsid w:val="2FAA0D63"/>
    <w:rsid w:val="2FB92D54"/>
    <w:rsid w:val="2FDD2EA0"/>
    <w:rsid w:val="2FE801F5"/>
    <w:rsid w:val="2FF344B8"/>
    <w:rsid w:val="2FF40230"/>
    <w:rsid w:val="301663F8"/>
    <w:rsid w:val="305807BF"/>
    <w:rsid w:val="306D421A"/>
    <w:rsid w:val="30751371"/>
    <w:rsid w:val="30A25969"/>
    <w:rsid w:val="30AC4667"/>
    <w:rsid w:val="30C776F3"/>
    <w:rsid w:val="30CD43CB"/>
    <w:rsid w:val="314B0324"/>
    <w:rsid w:val="319F6C13"/>
    <w:rsid w:val="31A87524"/>
    <w:rsid w:val="31AB27D7"/>
    <w:rsid w:val="31BD5EBD"/>
    <w:rsid w:val="31C003CA"/>
    <w:rsid w:val="31CD4642"/>
    <w:rsid w:val="31D727F1"/>
    <w:rsid w:val="321210D0"/>
    <w:rsid w:val="322C1F03"/>
    <w:rsid w:val="32513718"/>
    <w:rsid w:val="32690A61"/>
    <w:rsid w:val="32951856"/>
    <w:rsid w:val="329D070B"/>
    <w:rsid w:val="329D531E"/>
    <w:rsid w:val="32F756F3"/>
    <w:rsid w:val="33174961"/>
    <w:rsid w:val="332605FB"/>
    <w:rsid w:val="33260700"/>
    <w:rsid w:val="33266952"/>
    <w:rsid w:val="33923FE8"/>
    <w:rsid w:val="33BA52ED"/>
    <w:rsid w:val="33C00B55"/>
    <w:rsid w:val="33D71E67"/>
    <w:rsid w:val="33E660E2"/>
    <w:rsid w:val="34016539"/>
    <w:rsid w:val="340E164C"/>
    <w:rsid w:val="341B4D8B"/>
    <w:rsid w:val="342D1AF4"/>
    <w:rsid w:val="34346E4D"/>
    <w:rsid w:val="347656B7"/>
    <w:rsid w:val="348F4336"/>
    <w:rsid w:val="349257B2"/>
    <w:rsid w:val="34E61ECA"/>
    <w:rsid w:val="35441312"/>
    <w:rsid w:val="356B18E7"/>
    <w:rsid w:val="358B0CEF"/>
    <w:rsid w:val="35D94150"/>
    <w:rsid w:val="35E13004"/>
    <w:rsid w:val="35F5260C"/>
    <w:rsid w:val="362C24D2"/>
    <w:rsid w:val="36455341"/>
    <w:rsid w:val="36484E32"/>
    <w:rsid w:val="365C268B"/>
    <w:rsid w:val="366323DE"/>
    <w:rsid w:val="36C02C1A"/>
    <w:rsid w:val="36D3294D"/>
    <w:rsid w:val="372431A9"/>
    <w:rsid w:val="37563555"/>
    <w:rsid w:val="375D490D"/>
    <w:rsid w:val="379A346B"/>
    <w:rsid w:val="37D50D4A"/>
    <w:rsid w:val="37D5272F"/>
    <w:rsid w:val="37E27DCD"/>
    <w:rsid w:val="37E666B0"/>
    <w:rsid w:val="37F714C1"/>
    <w:rsid w:val="3801798E"/>
    <w:rsid w:val="38204B73"/>
    <w:rsid w:val="38426474"/>
    <w:rsid w:val="38433B03"/>
    <w:rsid w:val="384635F3"/>
    <w:rsid w:val="387B47CC"/>
    <w:rsid w:val="388C0398"/>
    <w:rsid w:val="38B60778"/>
    <w:rsid w:val="38C05153"/>
    <w:rsid w:val="38F4304F"/>
    <w:rsid w:val="39122B3C"/>
    <w:rsid w:val="392576AC"/>
    <w:rsid w:val="396A50BF"/>
    <w:rsid w:val="39924D42"/>
    <w:rsid w:val="39965EB4"/>
    <w:rsid w:val="39B27192"/>
    <w:rsid w:val="39E135D3"/>
    <w:rsid w:val="39EB421B"/>
    <w:rsid w:val="3A192D6D"/>
    <w:rsid w:val="3A2910F4"/>
    <w:rsid w:val="3A3E2A79"/>
    <w:rsid w:val="3A491DCB"/>
    <w:rsid w:val="3A6D3797"/>
    <w:rsid w:val="3A7011B9"/>
    <w:rsid w:val="3AA6037E"/>
    <w:rsid w:val="3AAA7D7A"/>
    <w:rsid w:val="3AE96BE3"/>
    <w:rsid w:val="3B027CA5"/>
    <w:rsid w:val="3B043A1D"/>
    <w:rsid w:val="3B092B64"/>
    <w:rsid w:val="3B0E03F8"/>
    <w:rsid w:val="3B1D4650"/>
    <w:rsid w:val="3B315963"/>
    <w:rsid w:val="3B334F0C"/>
    <w:rsid w:val="3B702D0A"/>
    <w:rsid w:val="3B90632F"/>
    <w:rsid w:val="3B912DD7"/>
    <w:rsid w:val="3BBA2588"/>
    <w:rsid w:val="3C5B5793"/>
    <w:rsid w:val="3CA31014"/>
    <w:rsid w:val="3CAF5C0A"/>
    <w:rsid w:val="3CE77152"/>
    <w:rsid w:val="3D1674B1"/>
    <w:rsid w:val="3D606F05"/>
    <w:rsid w:val="3D786894"/>
    <w:rsid w:val="3DAF5796"/>
    <w:rsid w:val="3DB37E93"/>
    <w:rsid w:val="3DD91F25"/>
    <w:rsid w:val="3DDD0555"/>
    <w:rsid w:val="3DE37306"/>
    <w:rsid w:val="3E3F6B1A"/>
    <w:rsid w:val="3E4E3201"/>
    <w:rsid w:val="3E7569E0"/>
    <w:rsid w:val="3EA03A5D"/>
    <w:rsid w:val="3EE939CC"/>
    <w:rsid w:val="3F00274D"/>
    <w:rsid w:val="3FC90D91"/>
    <w:rsid w:val="3FD569E5"/>
    <w:rsid w:val="40061FE5"/>
    <w:rsid w:val="40077B0C"/>
    <w:rsid w:val="400E0926"/>
    <w:rsid w:val="40181D19"/>
    <w:rsid w:val="4077259B"/>
    <w:rsid w:val="407D392A"/>
    <w:rsid w:val="407F76A2"/>
    <w:rsid w:val="4093656F"/>
    <w:rsid w:val="409C46F8"/>
    <w:rsid w:val="40A67324"/>
    <w:rsid w:val="40ED6D01"/>
    <w:rsid w:val="40F576DF"/>
    <w:rsid w:val="40FA4E7B"/>
    <w:rsid w:val="411E6EBB"/>
    <w:rsid w:val="41436921"/>
    <w:rsid w:val="41764F49"/>
    <w:rsid w:val="419378A9"/>
    <w:rsid w:val="41A76CDF"/>
    <w:rsid w:val="42417218"/>
    <w:rsid w:val="426052B1"/>
    <w:rsid w:val="426254CD"/>
    <w:rsid w:val="427D66D0"/>
    <w:rsid w:val="42934031"/>
    <w:rsid w:val="42A976A2"/>
    <w:rsid w:val="431247FD"/>
    <w:rsid w:val="43160791"/>
    <w:rsid w:val="43366EA0"/>
    <w:rsid w:val="434370AD"/>
    <w:rsid w:val="437454B8"/>
    <w:rsid w:val="43903F2A"/>
    <w:rsid w:val="43977C7D"/>
    <w:rsid w:val="43C24475"/>
    <w:rsid w:val="43DD433B"/>
    <w:rsid w:val="44054362"/>
    <w:rsid w:val="44613C8E"/>
    <w:rsid w:val="44A41DCD"/>
    <w:rsid w:val="44F27C1C"/>
    <w:rsid w:val="451B0980"/>
    <w:rsid w:val="45727F41"/>
    <w:rsid w:val="45A34166"/>
    <w:rsid w:val="45C36283"/>
    <w:rsid w:val="45C64F3E"/>
    <w:rsid w:val="45D24718"/>
    <w:rsid w:val="460B7586"/>
    <w:rsid w:val="461A2CA8"/>
    <w:rsid w:val="465B470D"/>
    <w:rsid w:val="468A01F7"/>
    <w:rsid w:val="46F5246C"/>
    <w:rsid w:val="46F661E4"/>
    <w:rsid w:val="47490A0A"/>
    <w:rsid w:val="47535C3D"/>
    <w:rsid w:val="47D112E0"/>
    <w:rsid w:val="483955AF"/>
    <w:rsid w:val="484A2C8B"/>
    <w:rsid w:val="4867383D"/>
    <w:rsid w:val="486F3408"/>
    <w:rsid w:val="48934632"/>
    <w:rsid w:val="48B06F92"/>
    <w:rsid w:val="48B12D0A"/>
    <w:rsid w:val="48D015CD"/>
    <w:rsid w:val="490966A2"/>
    <w:rsid w:val="49170DBF"/>
    <w:rsid w:val="491A08B0"/>
    <w:rsid w:val="492D05E3"/>
    <w:rsid w:val="49380D36"/>
    <w:rsid w:val="496E7530"/>
    <w:rsid w:val="49870E8A"/>
    <w:rsid w:val="49E669E4"/>
    <w:rsid w:val="49EF5898"/>
    <w:rsid w:val="4A003601"/>
    <w:rsid w:val="4A107913"/>
    <w:rsid w:val="4A6A13C3"/>
    <w:rsid w:val="4A897A9B"/>
    <w:rsid w:val="4A8E3F79"/>
    <w:rsid w:val="4AC05487"/>
    <w:rsid w:val="4ACC3547"/>
    <w:rsid w:val="4AD93E52"/>
    <w:rsid w:val="4B00470D"/>
    <w:rsid w:val="4B02784D"/>
    <w:rsid w:val="4B045373"/>
    <w:rsid w:val="4B4E2A92"/>
    <w:rsid w:val="4B7D6ED4"/>
    <w:rsid w:val="4BDE69FD"/>
    <w:rsid w:val="4BEA27BB"/>
    <w:rsid w:val="4BF54CBC"/>
    <w:rsid w:val="4BF93AFD"/>
    <w:rsid w:val="4C2A0F65"/>
    <w:rsid w:val="4C5C2F8D"/>
    <w:rsid w:val="4C79261D"/>
    <w:rsid w:val="4C804ECE"/>
    <w:rsid w:val="4CA85524"/>
    <w:rsid w:val="4CB608EF"/>
    <w:rsid w:val="4CBE77A4"/>
    <w:rsid w:val="4CEC2563"/>
    <w:rsid w:val="4CF0209D"/>
    <w:rsid w:val="4CF65190"/>
    <w:rsid w:val="4D007DBC"/>
    <w:rsid w:val="4D2910C1"/>
    <w:rsid w:val="4D2B308B"/>
    <w:rsid w:val="4D397978"/>
    <w:rsid w:val="4D551EB6"/>
    <w:rsid w:val="4D783DF7"/>
    <w:rsid w:val="4D970721"/>
    <w:rsid w:val="4D987FF5"/>
    <w:rsid w:val="4DAC584E"/>
    <w:rsid w:val="4DD86643"/>
    <w:rsid w:val="4E257ADB"/>
    <w:rsid w:val="4E311EE5"/>
    <w:rsid w:val="4EA40F39"/>
    <w:rsid w:val="4EAD7AD0"/>
    <w:rsid w:val="4ED35615"/>
    <w:rsid w:val="4F644633"/>
    <w:rsid w:val="4FE237A9"/>
    <w:rsid w:val="50165F43"/>
    <w:rsid w:val="502A2D3A"/>
    <w:rsid w:val="5038161B"/>
    <w:rsid w:val="50504BB7"/>
    <w:rsid w:val="506C5235"/>
    <w:rsid w:val="507A1C34"/>
    <w:rsid w:val="50BE4216"/>
    <w:rsid w:val="50C51101"/>
    <w:rsid w:val="50C64E79"/>
    <w:rsid w:val="50D62EA2"/>
    <w:rsid w:val="50F97A8C"/>
    <w:rsid w:val="50FA629D"/>
    <w:rsid w:val="510C6D30"/>
    <w:rsid w:val="51663EC6"/>
    <w:rsid w:val="51A539FF"/>
    <w:rsid w:val="51B97077"/>
    <w:rsid w:val="524644C3"/>
    <w:rsid w:val="527903F5"/>
    <w:rsid w:val="52796647"/>
    <w:rsid w:val="529A65BD"/>
    <w:rsid w:val="52FD7421"/>
    <w:rsid w:val="5302663C"/>
    <w:rsid w:val="530F2B07"/>
    <w:rsid w:val="53901E9A"/>
    <w:rsid w:val="53A670EE"/>
    <w:rsid w:val="53DA1367"/>
    <w:rsid w:val="54063F0A"/>
    <w:rsid w:val="542F70DE"/>
    <w:rsid w:val="543B2B99"/>
    <w:rsid w:val="543F566E"/>
    <w:rsid w:val="54486516"/>
    <w:rsid w:val="544A0B7D"/>
    <w:rsid w:val="54617393"/>
    <w:rsid w:val="54752E3E"/>
    <w:rsid w:val="54805259"/>
    <w:rsid w:val="54837309"/>
    <w:rsid w:val="54A31759"/>
    <w:rsid w:val="54F22F39"/>
    <w:rsid w:val="553B6A18"/>
    <w:rsid w:val="5563713A"/>
    <w:rsid w:val="557B4484"/>
    <w:rsid w:val="557F21C6"/>
    <w:rsid w:val="559519EA"/>
    <w:rsid w:val="559801FC"/>
    <w:rsid w:val="55B300C2"/>
    <w:rsid w:val="56105763"/>
    <w:rsid w:val="565847C5"/>
    <w:rsid w:val="565C42B5"/>
    <w:rsid w:val="56A96A51"/>
    <w:rsid w:val="56B20379"/>
    <w:rsid w:val="56B52F3D"/>
    <w:rsid w:val="56EF6ED8"/>
    <w:rsid w:val="57174680"/>
    <w:rsid w:val="573214BA"/>
    <w:rsid w:val="57407733"/>
    <w:rsid w:val="574F16AC"/>
    <w:rsid w:val="57B810F8"/>
    <w:rsid w:val="57BB0DFB"/>
    <w:rsid w:val="57DE484E"/>
    <w:rsid w:val="5814296E"/>
    <w:rsid w:val="585D2567"/>
    <w:rsid w:val="58773629"/>
    <w:rsid w:val="588F6E1D"/>
    <w:rsid w:val="58C1407C"/>
    <w:rsid w:val="58CD149A"/>
    <w:rsid w:val="58D2085F"/>
    <w:rsid w:val="58F509F1"/>
    <w:rsid w:val="590F3D10"/>
    <w:rsid w:val="59123351"/>
    <w:rsid w:val="59D91B86"/>
    <w:rsid w:val="59E44CEE"/>
    <w:rsid w:val="59F842F5"/>
    <w:rsid w:val="5A1804F3"/>
    <w:rsid w:val="5A533AA6"/>
    <w:rsid w:val="5A6B0F6B"/>
    <w:rsid w:val="5A845B89"/>
    <w:rsid w:val="5AA224B3"/>
    <w:rsid w:val="5AB02E22"/>
    <w:rsid w:val="5AE16226"/>
    <w:rsid w:val="5AE43156"/>
    <w:rsid w:val="5B1B7148"/>
    <w:rsid w:val="5B24111A"/>
    <w:rsid w:val="5B2E3D47"/>
    <w:rsid w:val="5B5E178C"/>
    <w:rsid w:val="5B6A7113"/>
    <w:rsid w:val="5B8A5421"/>
    <w:rsid w:val="5BC621D1"/>
    <w:rsid w:val="5BE2700B"/>
    <w:rsid w:val="5C061F75"/>
    <w:rsid w:val="5C337866"/>
    <w:rsid w:val="5C533A65"/>
    <w:rsid w:val="5C7D6D34"/>
    <w:rsid w:val="5C8E626B"/>
    <w:rsid w:val="5CA644DC"/>
    <w:rsid w:val="5CB45DF6"/>
    <w:rsid w:val="5CCC3AC2"/>
    <w:rsid w:val="5CE648D9"/>
    <w:rsid w:val="5CE768A3"/>
    <w:rsid w:val="5D041203"/>
    <w:rsid w:val="5D094A6B"/>
    <w:rsid w:val="5D190FF1"/>
    <w:rsid w:val="5D467A6D"/>
    <w:rsid w:val="5D4930BA"/>
    <w:rsid w:val="5D5757D7"/>
    <w:rsid w:val="5D7279C5"/>
    <w:rsid w:val="5E0C65C1"/>
    <w:rsid w:val="5E9071F2"/>
    <w:rsid w:val="5ECA3D86"/>
    <w:rsid w:val="5ECE7D1A"/>
    <w:rsid w:val="5F4A0598"/>
    <w:rsid w:val="5F6819A8"/>
    <w:rsid w:val="5F904FD0"/>
    <w:rsid w:val="5FA32F55"/>
    <w:rsid w:val="5FDF3861"/>
    <w:rsid w:val="60C170FF"/>
    <w:rsid w:val="60E7023C"/>
    <w:rsid w:val="611F2AAF"/>
    <w:rsid w:val="612C3D67"/>
    <w:rsid w:val="612E4AA0"/>
    <w:rsid w:val="6138591F"/>
    <w:rsid w:val="61457D09"/>
    <w:rsid w:val="617215D0"/>
    <w:rsid w:val="617A7CE6"/>
    <w:rsid w:val="618F606A"/>
    <w:rsid w:val="620F48D2"/>
    <w:rsid w:val="622163B3"/>
    <w:rsid w:val="626A7FAB"/>
    <w:rsid w:val="626D33A6"/>
    <w:rsid w:val="62744735"/>
    <w:rsid w:val="62A82630"/>
    <w:rsid w:val="62B4149C"/>
    <w:rsid w:val="62F615EE"/>
    <w:rsid w:val="62FC6C1E"/>
    <w:rsid w:val="634560D1"/>
    <w:rsid w:val="639F3A33"/>
    <w:rsid w:val="63D713EB"/>
    <w:rsid w:val="63E37DC4"/>
    <w:rsid w:val="63F6668D"/>
    <w:rsid w:val="640B2E77"/>
    <w:rsid w:val="64175CC0"/>
    <w:rsid w:val="64634A61"/>
    <w:rsid w:val="649317EA"/>
    <w:rsid w:val="64954C8F"/>
    <w:rsid w:val="64AA6B34"/>
    <w:rsid w:val="64F73BBC"/>
    <w:rsid w:val="65036333"/>
    <w:rsid w:val="651B533C"/>
    <w:rsid w:val="652F0DE7"/>
    <w:rsid w:val="65515894"/>
    <w:rsid w:val="657131AE"/>
    <w:rsid w:val="658B730E"/>
    <w:rsid w:val="65A74E21"/>
    <w:rsid w:val="65BF660F"/>
    <w:rsid w:val="65E85CB1"/>
    <w:rsid w:val="65EC60D1"/>
    <w:rsid w:val="662A7F2C"/>
    <w:rsid w:val="6669076D"/>
    <w:rsid w:val="66754F1F"/>
    <w:rsid w:val="66763171"/>
    <w:rsid w:val="66B21CD0"/>
    <w:rsid w:val="66B9305E"/>
    <w:rsid w:val="66D734E4"/>
    <w:rsid w:val="670C5884"/>
    <w:rsid w:val="67114C48"/>
    <w:rsid w:val="676254A4"/>
    <w:rsid w:val="67C63C85"/>
    <w:rsid w:val="67D77C40"/>
    <w:rsid w:val="68573334"/>
    <w:rsid w:val="686D2352"/>
    <w:rsid w:val="689B44A6"/>
    <w:rsid w:val="68AA17CD"/>
    <w:rsid w:val="68E51EE8"/>
    <w:rsid w:val="68E819D9"/>
    <w:rsid w:val="692D1AE1"/>
    <w:rsid w:val="696279DD"/>
    <w:rsid w:val="69684A2F"/>
    <w:rsid w:val="69A72531"/>
    <w:rsid w:val="69B12712"/>
    <w:rsid w:val="69BB0E9B"/>
    <w:rsid w:val="69CC5926"/>
    <w:rsid w:val="69DA7573"/>
    <w:rsid w:val="6A260A0B"/>
    <w:rsid w:val="6A295531"/>
    <w:rsid w:val="6A2E78BF"/>
    <w:rsid w:val="6A3D7B02"/>
    <w:rsid w:val="6A760E95"/>
    <w:rsid w:val="6A9736B6"/>
    <w:rsid w:val="6AB86042"/>
    <w:rsid w:val="6AFE3DEE"/>
    <w:rsid w:val="6B0F76F1"/>
    <w:rsid w:val="6B217424"/>
    <w:rsid w:val="6B252A70"/>
    <w:rsid w:val="6B347157"/>
    <w:rsid w:val="6B916358"/>
    <w:rsid w:val="6C5E0930"/>
    <w:rsid w:val="6C8B31BE"/>
    <w:rsid w:val="6C9F2CF6"/>
    <w:rsid w:val="6CF748E0"/>
    <w:rsid w:val="6D0813E1"/>
    <w:rsid w:val="6D0F1C2A"/>
    <w:rsid w:val="6D31451D"/>
    <w:rsid w:val="6D323B6A"/>
    <w:rsid w:val="6D3C22F3"/>
    <w:rsid w:val="6D651C86"/>
    <w:rsid w:val="6D875E0D"/>
    <w:rsid w:val="6DA07D03"/>
    <w:rsid w:val="6DA94EBA"/>
    <w:rsid w:val="6DC76535"/>
    <w:rsid w:val="6E0252EB"/>
    <w:rsid w:val="6E2E60E0"/>
    <w:rsid w:val="6E530022"/>
    <w:rsid w:val="6E5F098F"/>
    <w:rsid w:val="6E6D2DC3"/>
    <w:rsid w:val="6E8B5B76"/>
    <w:rsid w:val="6E950501"/>
    <w:rsid w:val="6EAB5982"/>
    <w:rsid w:val="6EF5413C"/>
    <w:rsid w:val="6F014B14"/>
    <w:rsid w:val="6F3911E0"/>
    <w:rsid w:val="6F3A4760"/>
    <w:rsid w:val="6F537309"/>
    <w:rsid w:val="6F79782E"/>
    <w:rsid w:val="6FAA79E8"/>
    <w:rsid w:val="6FC50CC6"/>
    <w:rsid w:val="6FD1766A"/>
    <w:rsid w:val="70085FCA"/>
    <w:rsid w:val="701C5698"/>
    <w:rsid w:val="70310109"/>
    <w:rsid w:val="70453BB5"/>
    <w:rsid w:val="70576D06"/>
    <w:rsid w:val="705A140E"/>
    <w:rsid w:val="70671D7D"/>
    <w:rsid w:val="70932B72"/>
    <w:rsid w:val="70DA254F"/>
    <w:rsid w:val="70EE1B56"/>
    <w:rsid w:val="70F95E02"/>
    <w:rsid w:val="71080E6A"/>
    <w:rsid w:val="712A5284"/>
    <w:rsid w:val="71327FAE"/>
    <w:rsid w:val="71503C7A"/>
    <w:rsid w:val="718030F6"/>
    <w:rsid w:val="71877958"/>
    <w:rsid w:val="719C5A56"/>
    <w:rsid w:val="71B11502"/>
    <w:rsid w:val="71EF3DD8"/>
    <w:rsid w:val="72347A3D"/>
    <w:rsid w:val="727B696B"/>
    <w:rsid w:val="728377E3"/>
    <w:rsid w:val="732E427C"/>
    <w:rsid w:val="7372081D"/>
    <w:rsid w:val="73AA6208"/>
    <w:rsid w:val="73B70925"/>
    <w:rsid w:val="73C123F0"/>
    <w:rsid w:val="73C82B32"/>
    <w:rsid w:val="73F531FC"/>
    <w:rsid w:val="74253AE1"/>
    <w:rsid w:val="74732A9E"/>
    <w:rsid w:val="747C13A0"/>
    <w:rsid w:val="74EA0887"/>
    <w:rsid w:val="74F6722B"/>
    <w:rsid w:val="75461F61"/>
    <w:rsid w:val="755F74C6"/>
    <w:rsid w:val="757545F4"/>
    <w:rsid w:val="75796F4B"/>
    <w:rsid w:val="758E3908"/>
    <w:rsid w:val="75B3511C"/>
    <w:rsid w:val="75BA439E"/>
    <w:rsid w:val="75C423FF"/>
    <w:rsid w:val="75D9184B"/>
    <w:rsid w:val="76037E52"/>
    <w:rsid w:val="761402B1"/>
    <w:rsid w:val="761840A6"/>
    <w:rsid w:val="761E6A3A"/>
    <w:rsid w:val="7650348F"/>
    <w:rsid w:val="76BA0E58"/>
    <w:rsid w:val="76E40BD9"/>
    <w:rsid w:val="773547FB"/>
    <w:rsid w:val="773F4B38"/>
    <w:rsid w:val="77521091"/>
    <w:rsid w:val="778925D9"/>
    <w:rsid w:val="77CD2210"/>
    <w:rsid w:val="77E93077"/>
    <w:rsid w:val="78322C70"/>
    <w:rsid w:val="783C589D"/>
    <w:rsid w:val="786077DD"/>
    <w:rsid w:val="788860C0"/>
    <w:rsid w:val="78917997"/>
    <w:rsid w:val="78BB0EB8"/>
    <w:rsid w:val="78BE11AE"/>
    <w:rsid w:val="78D6184E"/>
    <w:rsid w:val="790E7551"/>
    <w:rsid w:val="794830FC"/>
    <w:rsid w:val="796B0EFB"/>
    <w:rsid w:val="79C16E5C"/>
    <w:rsid w:val="79DF0BD6"/>
    <w:rsid w:val="7A097A01"/>
    <w:rsid w:val="7A217989"/>
    <w:rsid w:val="7A3B0217"/>
    <w:rsid w:val="7ABE6A3D"/>
    <w:rsid w:val="7AC04563"/>
    <w:rsid w:val="7B18439F"/>
    <w:rsid w:val="7B9C6F77"/>
    <w:rsid w:val="7BDA3403"/>
    <w:rsid w:val="7BEB5610"/>
    <w:rsid w:val="7C1F350C"/>
    <w:rsid w:val="7C96335E"/>
    <w:rsid w:val="7CE7227B"/>
    <w:rsid w:val="7D012C11"/>
    <w:rsid w:val="7D1140FE"/>
    <w:rsid w:val="7D1D5C9D"/>
    <w:rsid w:val="7D30310A"/>
    <w:rsid w:val="7D456FA2"/>
    <w:rsid w:val="7D5E522E"/>
    <w:rsid w:val="7D6E49FE"/>
    <w:rsid w:val="7D722672"/>
    <w:rsid w:val="7D8C697F"/>
    <w:rsid w:val="7DAA5057"/>
    <w:rsid w:val="7DBD2FDC"/>
    <w:rsid w:val="7DD16A88"/>
    <w:rsid w:val="7E152E18"/>
    <w:rsid w:val="7E7C7B82"/>
    <w:rsid w:val="7E867872"/>
    <w:rsid w:val="7E9F5FF4"/>
    <w:rsid w:val="7EBB576E"/>
    <w:rsid w:val="7ECF1219"/>
    <w:rsid w:val="7EEA1BAF"/>
    <w:rsid w:val="7F08297D"/>
    <w:rsid w:val="7F394978"/>
    <w:rsid w:val="7F647FD1"/>
    <w:rsid w:val="7F651B7D"/>
    <w:rsid w:val="7FAF4BA7"/>
    <w:rsid w:val="7FCB2E0F"/>
    <w:rsid w:val="7FCC750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qFormat/>
    <w:uiPriority w:val="1"/>
    <w:pPr>
      <w:spacing w:before="114"/>
      <w:ind w:left="353" w:hanging="240"/>
      <w:outlineLvl w:val="1"/>
    </w:pPr>
    <w:rPr>
      <w:rFonts w:ascii="宋体" w:hAnsi="宋体" w:eastAsia="宋体" w:cs="宋体"/>
      <w:b/>
      <w:bCs/>
      <w:sz w:val="24"/>
      <w:szCs w:val="24"/>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semiHidden/>
    <w:qFormat/>
    <w:uiPriority w:val="0"/>
    <w:rPr>
      <w:rFonts w:ascii="宋体" w:hAnsi="宋体" w:eastAsia="宋体" w:cs="宋体"/>
      <w:sz w:val="24"/>
      <w:szCs w:val="24"/>
    </w:rPr>
  </w:style>
  <w:style w:type="paragraph" w:styleId="4">
    <w:name w:val="Balloon Text"/>
    <w:basedOn w:val="1"/>
    <w:link w:val="13"/>
    <w:qFormat/>
    <w:uiPriority w:val="0"/>
    <w:rPr>
      <w:sz w:val="18"/>
      <w:szCs w:val="18"/>
    </w:rPr>
  </w:style>
  <w:style w:type="paragraph" w:styleId="5">
    <w:name w:val="footer"/>
    <w:basedOn w:val="1"/>
    <w:qFormat/>
    <w:uiPriority w:val="0"/>
    <w:pPr>
      <w:tabs>
        <w:tab w:val="center" w:pos="4153"/>
        <w:tab w:val="right" w:pos="8306"/>
      </w:tabs>
    </w:pPr>
    <w:rPr>
      <w:sz w:val="18"/>
    </w:rPr>
  </w:style>
  <w:style w:type="paragraph" w:styleId="6">
    <w:name w:val="header"/>
    <w:basedOn w:val="1"/>
    <w:link w:val="14"/>
    <w:qFormat/>
    <w:uiPriority w:val="0"/>
    <w:pPr>
      <w:pBdr>
        <w:bottom w:val="single" w:color="auto" w:sz="6" w:space="1"/>
      </w:pBdr>
      <w:tabs>
        <w:tab w:val="center" w:pos="4153"/>
        <w:tab w:val="right" w:pos="8306"/>
      </w:tabs>
      <w:jc w:val="center"/>
    </w:pPr>
    <w:rPr>
      <w:sz w:val="18"/>
      <w:szCs w:val="18"/>
    </w:rPr>
  </w:style>
  <w:style w:type="paragraph" w:styleId="7">
    <w:name w:val="toc 1"/>
    <w:basedOn w:val="1"/>
    <w:next w:val="1"/>
    <w:qFormat/>
    <w:uiPriority w:val="0"/>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Table Text"/>
    <w:basedOn w:val="1"/>
    <w:semiHidden/>
    <w:qFormat/>
    <w:uiPriority w:val="0"/>
    <w:rPr>
      <w:rFonts w:ascii="黑体" w:hAnsi="黑体" w:eastAsia="黑体" w:cs="黑体"/>
      <w:sz w:val="24"/>
      <w:szCs w:val="24"/>
    </w:rPr>
  </w:style>
  <w:style w:type="character" w:customStyle="1" w:styleId="13">
    <w:name w:val="批注框文本 Char"/>
    <w:basedOn w:val="10"/>
    <w:link w:val="4"/>
    <w:qFormat/>
    <w:uiPriority w:val="0"/>
    <w:rPr>
      <w:rFonts w:eastAsia="Arial"/>
      <w:snapToGrid w:val="0"/>
      <w:color w:val="000000"/>
      <w:sz w:val="18"/>
      <w:szCs w:val="18"/>
      <w:lang w:eastAsia="en-US"/>
    </w:rPr>
  </w:style>
  <w:style w:type="character" w:customStyle="1" w:styleId="14">
    <w:name w:val="页眉 Char"/>
    <w:basedOn w:val="10"/>
    <w:link w:val="6"/>
    <w:qFormat/>
    <w:uiPriority w:val="0"/>
    <w:rPr>
      <w:rFonts w:eastAsia="Arial"/>
      <w:snapToGrid w:val="0"/>
      <w:color w:val="000000"/>
      <w:sz w:val="18"/>
      <w:szCs w:val="18"/>
      <w:lang w:eastAsia="en-US"/>
    </w:rPr>
  </w:style>
  <w:style w:type="paragraph" w:customStyle="1" w:styleId="15">
    <w:name w:val="Table Paragraph"/>
    <w:basedOn w:val="1"/>
    <w:qFormat/>
    <w:uiPriority w:val="1"/>
    <w:pPr>
      <w:spacing w:before="54"/>
      <w:jc w:val="center"/>
    </w:pPr>
    <w:rPr>
      <w:rFonts w:ascii="宋体" w:hAnsi="宋体" w:eastAsia="宋体" w:cs="宋体"/>
    </w:rPr>
  </w:style>
  <w:style w:type="paragraph" w:styleId="16">
    <w:name w:val="List Paragraph"/>
    <w:basedOn w:val="1"/>
    <w:qFormat/>
    <w:uiPriority w:val="1"/>
    <w:pPr>
      <w:spacing w:before="132"/>
      <w:ind w:left="533" w:hanging="420"/>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4A8F17-4092-46EA-AD09-F0498CEF7BA7}">
  <ds:schemaRefs/>
</ds:datastoreItem>
</file>

<file path=docProps/app.xml><?xml version="1.0" encoding="utf-8"?>
<Properties xmlns="http://schemas.openxmlformats.org/officeDocument/2006/extended-properties" xmlns:vt="http://schemas.openxmlformats.org/officeDocument/2006/docPropsVTypes">
  <Template>Normal</Template>
  <Pages>17</Pages>
  <Words>9127</Words>
  <Characters>11513</Characters>
  <Lines>1</Lines>
  <Paragraphs>1</Paragraphs>
  <TotalTime>19</TotalTime>
  <ScaleCrop>false</ScaleCrop>
  <LinksUpToDate>false</LinksUpToDate>
  <CharactersWithSpaces>11830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2023-07-06T12:11:00Z</dcterms:created>
  <dc:creator>张璐璐</dc:creator>
  <cp:lastModifiedBy>胥龙海</cp:lastModifiedBy>
  <cp:lastPrinted>2024-10-25T09:44:31Z</cp:lastPrinted>
  <dcterms:modified xsi:type="dcterms:W3CDTF">2024-10-25T09:45:01Z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2023-07-05T14:49:48Z</vt:filetime>
  </property>
  <property fmtid="{D5CDD505-2E9C-101B-9397-08002B2CF9AE}" pid="4" name="KSOProductBuildVer">
    <vt:lpwstr>2052-12.1.0.18608</vt:lpwstr>
  </property>
  <property fmtid="{D5CDD505-2E9C-101B-9397-08002B2CF9AE}" pid="5" name="ICV">
    <vt:lpwstr>17EF29897EA14643A0F588301E286A50_13</vt:lpwstr>
  </property>
</Properties>
</file>